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60" w:tblpY="643"/>
        <w:tblOverlap w:val="never"/>
        <w:tblW w:w="99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096"/>
        <w:gridCol w:w="1096"/>
        <w:gridCol w:w="1096"/>
        <w:gridCol w:w="1096"/>
        <w:gridCol w:w="1096"/>
        <w:gridCol w:w="3414"/>
      </w:tblGrid>
      <w:tr w14:paraId="77386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23E0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  <w:p w14:paraId="0003E6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山海关区2026年衔接资金分配结果</w:t>
            </w:r>
            <w:bookmarkEnd w:id="0"/>
          </w:p>
        </w:tc>
      </w:tr>
      <w:tr w14:paraId="792C0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59A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EE9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12A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DBB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646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392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03013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E503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 w14:paraId="61BC6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DF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F2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资金规模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7C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8F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资金用途</w:t>
            </w:r>
          </w:p>
        </w:tc>
      </w:tr>
      <w:tr w14:paraId="0D489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D96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8BB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0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中央安排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4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省级安排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71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市级安排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E5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县区安排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4D7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1CA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03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山海关区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CF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67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85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01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3D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EA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产业帮扶项目（其中省级4万，区本级1万）</w:t>
            </w:r>
          </w:p>
        </w:tc>
      </w:tr>
    </w:tbl>
    <w:p w14:paraId="07A85D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F60E8"/>
    <w:rsid w:val="09DF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2026-03-03T09:09:00Z</dcterms:created>
  <dc:creator>嘎嘎</dc:creator>
  <cp:lastModifiedBy>嘎嘎</cp:lastModifiedBy>
  <dcterms:modified xsi:type="dcterms:W3CDTF">2026-03-03T09:09:33Z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DE011D4FC44B4C6682D12C38018DD97B_11</vt:lpwstr>
  </property>
  <property fmtid="{D5CDD505-2E9C-101B-9397-08002B2CF9AE}" pid="4" name="KSOTemplateDocerSaveRecord">
    <vt:lpwstr>eyJoZGlkIjoiMWU0MDVmNjJkM2QyNzQ4MTg1ODNhNGNmOThkMTE2ZWMiLCJ1c2VySWQiOiIxNjIyNzYzMjQ5In0=</vt:lpwstr>
  </property>
</Properties>
</file>