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1471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
      <w:tblGrid>
        <w:gridCol w:w="544"/>
        <w:gridCol w:w="850"/>
        <w:gridCol w:w="1134"/>
        <w:gridCol w:w="3118"/>
        <w:gridCol w:w="1315"/>
        <w:gridCol w:w="3785"/>
        <w:gridCol w:w="3402"/>
        <w:gridCol w:w="567"/>
      </w:tblGrid>
      <w:tr w14:paraId="5158D1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567" w:hRule="atLeast"/>
          <w:tblHeader/>
        </w:trPr>
        <w:tc>
          <w:tcPr>
            <w:tcW w:w="544" w:type="dxa"/>
            <w:tcBorders>
              <w:tl2br w:val="nil"/>
              <w:tr2bl w:val="nil"/>
            </w:tcBorders>
            <w:shd w:val="clear" w:color="auto" w:fill="auto"/>
            <w:vAlign w:val="center"/>
          </w:tcPr>
          <w:p w14:paraId="636D329C">
            <w:pPr>
              <w:widowControl/>
              <w:spacing w:line="240" w:lineRule="exact"/>
              <w:jc w:val="center"/>
              <w:textAlignment w:val="center"/>
              <w:rPr>
                <w:rFonts w:ascii="黑体" w:hAnsi="黑体" w:eastAsia="黑体" w:cs="黑体"/>
                <w:color w:val="000000"/>
                <w:sz w:val="24"/>
              </w:rPr>
            </w:pPr>
            <w:r>
              <w:rPr>
                <w:rFonts w:hint="eastAsia" w:ascii="黑体" w:hAnsi="黑体" w:eastAsia="黑体" w:cs="黑体"/>
                <w:color w:val="000000"/>
                <w:kern w:val="0"/>
                <w:sz w:val="24"/>
              </w:rPr>
              <w:t>序号</w:t>
            </w:r>
          </w:p>
        </w:tc>
        <w:tc>
          <w:tcPr>
            <w:tcW w:w="850" w:type="dxa"/>
            <w:tcBorders>
              <w:tl2br w:val="nil"/>
              <w:tr2bl w:val="nil"/>
            </w:tcBorders>
            <w:shd w:val="clear" w:color="auto" w:fill="auto"/>
            <w:vAlign w:val="center"/>
          </w:tcPr>
          <w:p w14:paraId="11196B7A">
            <w:pPr>
              <w:widowControl/>
              <w:spacing w:line="240" w:lineRule="exact"/>
              <w:jc w:val="center"/>
              <w:textAlignment w:val="center"/>
              <w:rPr>
                <w:rFonts w:ascii="黑体" w:hAnsi="黑体" w:eastAsia="黑体" w:cs="黑体"/>
                <w:color w:val="000000"/>
                <w:kern w:val="0"/>
                <w:sz w:val="24"/>
              </w:rPr>
            </w:pPr>
            <w:r>
              <w:rPr>
                <w:rFonts w:hint="eastAsia" w:ascii="黑体" w:hAnsi="黑体" w:eastAsia="黑体" w:cs="黑体"/>
                <w:color w:val="000000"/>
                <w:kern w:val="0"/>
                <w:sz w:val="24"/>
              </w:rPr>
              <w:t>权力</w:t>
            </w:r>
          </w:p>
          <w:p w14:paraId="4BBB83DE">
            <w:pPr>
              <w:widowControl/>
              <w:spacing w:line="240" w:lineRule="exact"/>
              <w:jc w:val="center"/>
              <w:textAlignment w:val="center"/>
              <w:rPr>
                <w:rFonts w:ascii="黑体" w:hAnsi="黑体" w:eastAsia="黑体" w:cs="黑体"/>
                <w:color w:val="000000"/>
                <w:sz w:val="24"/>
              </w:rPr>
            </w:pPr>
            <w:r>
              <w:rPr>
                <w:rFonts w:hint="eastAsia" w:ascii="黑体" w:hAnsi="黑体" w:eastAsia="黑体" w:cs="黑体"/>
                <w:color w:val="000000"/>
                <w:kern w:val="0"/>
                <w:sz w:val="24"/>
              </w:rPr>
              <w:t>类型</w:t>
            </w:r>
          </w:p>
        </w:tc>
        <w:tc>
          <w:tcPr>
            <w:tcW w:w="1134" w:type="dxa"/>
            <w:tcBorders>
              <w:tl2br w:val="nil"/>
              <w:tr2bl w:val="nil"/>
            </w:tcBorders>
            <w:shd w:val="clear" w:color="auto" w:fill="auto"/>
            <w:vAlign w:val="center"/>
          </w:tcPr>
          <w:p w14:paraId="28781342">
            <w:pPr>
              <w:widowControl/>
              <w:spacing w:line="240" w:lineRule="exact"/>
              <w:jc w:val="center"/>
              <w:textAlignment w:val="center"/>
              <w:rPr>
                <w:rFonts w:ascii="黑体" w:hAnsi="黑体" w:eastAsia="黑体" w:cs="黑体"/>
                <w:color w:val="000000"/>
                <w:kern w:val="0"/>
                <w:sz w:val="24"/>
              </w:rPr>
            </w:pPr>
            <w:r>
              <w:rPr>
                <w:rFonts w:hint="eastAsia" w:ascii="黑体" w:hAnsi="黑体" w:eastAsia="黑体" w:cs="黑体"/>
                <w:color w:val="000000"/>
                <w:kern w:val="0"/>
                <w:sz w:val="24"/>
              </w:rPr>
              <w:t>权力</w:t>
            </w:r>
          </w:p>
          <w:p w14:paraId="02E8292B">
            <w:pPr>
              <w:widowControl/>
              <w:spacing w:line="240" w:lineRule="exact"/>
              <w:jc w:val="center"/>
              <w:textAlignment w:val="center"/>
              <w:rPr>
                <w:rFonts w:ascii="黑体" w:hAnsi="黑体" w:eastAsia="黑体" w:cs="黑体"/>
                <w:color w:val="000000"/>
                <w:sz w:val="24"/>
              </w:rPr>
            </w:pPr>
            <w:r>
              <w:rPr>
                <w:rFonts w:hint="eastAsia" w:ascii="黑体" w:hAnsi="黑体" w:eastAsia="黑体" w:cs="黑体"/>
                <w:color w:val="000000"/>
                <w:kern w:val="0"/>
                <w:sz w:val="24"/>
              </w:rPr>
              <w:t>事项</w:t>
            </w:r>
          </w:p>
        </w:tc>
        <w:tc>
          <w:tcPr>
            <w:tcW w:w="3118" w:type="dxa"/>
            <w:tcBorders>
              <w:tl2br w:val="nil"/>
              <w:tr2bl w:val="nil"/>
            </w:tcBorders>
            <w:shd w:val="clear" w:color="auto" w:fill="auto"/>
            <w:vAlign w:val="center"/>
          </w:tcPr>
          <w:p w14:paraId="23B7BA0B">
            <w:pPr>
              <w:widowControl/>
              <w:spacing w:line="240" w:lineRule="exact"/>
              <w:jc w:val="center"/>
              <w:textAlignment w:val="center"/>
              <w:rPr>
                <w:rFonts w:ascii="黑体" w:hAnsi="黑体" w:eastAsia="黑体" w:cs="黑体"/>
                <w:color w:val="000000"/>
                <w:sz w:val="24"/>
              </w:rPr>
            </w:pPr>
            <w:r>
              <w:rPr>
                <w:rFonts w:hint="eastAsia" w:ascii="黑体" w:hAnsi="黑体" w:eastAsia="黑体" w:cs="黑体"/>
                <w:color w:val="000000"/>
                <w:kern w:val="0"/>
                <w:sz w:val="24"/>
              </w:rPr>
              <w:t>实施依据</w:t>
            </w:r>
          </w:p>
        </w:tc>
        <w:tc>
          <w:tcPr>
            <w:tcW w:w="1315" w:type="dxa"/>
            <w:tcBorders>
              <w:tl2br w:val="nil"/>
              <w:tr2bl w:val="nil"/>
            </w:tcBorders>
            <w:shd w:val="clear" w:color="auto" w:fill="auto"/>
            <w:vAlign w:val="center"/>
          </w:tcPr>
          <w:p w14:paraId="41DC457D">
            <w:pPr>
              <w:widowControl/>
              <w:spacing w:line="240" w:lineRule="exact"/>
              <w:jc w:val="center"/>
              <w:textAlignment w:val="center"/>
              <w:rPr>
                <w:rFonts w:ascii="黑体" w:hAnsi="黑体" w:eastAsia="黑体" w:cs="黑体"/>
                <w:color w:val="000000"/>
                <w:sz w:val="24"/>
              </w:rPr>
            </w:pPr>
            <w:r>
              <w:rPr>
                <w:rFonts w:hint="eastAsia" w:ascii="黑体" w:hAnsi="黑体" w:eastAsia="黑体" w:cs="黑体"/>
                <w:color w:val="000000"/>
                <w:kern w:val="0"/>
                <w:sz w:val="24"/>
              </w:rPr>
              <w:t>行政主体</w:t>
            </w:r>
          </w:p>
        </w:tc>
        <w:tc>
          <w:tcPr>
            <w:tcW w:w="3785" w:type="dxa"/>
            <w:tcBorders>
              <w:tl2br w:val="nil"/>
              <w:tr2bl w:val="nil"/>
            </w:tcBorders>
            <w:shd w:val="clear" w:color="auto" w:fill="auto"/>
            <w:vAlign w:val="center"/>
          </w:tcPr>
          <w:p w14:paraId="1D785668">
            <w:pPr>
              <w:widowControl/>
              <w:spacing w:line="240" w:lineRule="exact"/>
              <w:jc w:val="center"/>
              <w:textAlignment w:val="center"/>
              <w:rPr>
                <w:rFonts w:ascii="黑体" w:hAnsi="黑体" w:eastAsia="黑体" w:cs="黑体"/>
                <w:color w:val="000000"/>
                <w:sz w:val="24"/>
              </w:rPr>
            </w:pPr>
            <w:r>
              <w:rPr>
                <w:rFonts w:hint="eastAsia" w:ascii="黑体" w:hAnsi="黑体" w:eastAsia="黑体" w:cs="黑体"/>
                <w:color w:val="000000"/>
                <w:kern w:val="0"/>
                <w:sz w:val="24"/>
              </w:rPr>
              <w:t>责任事项</w:t>
            </w:r>
          </w:p>
        </w:tc>
        <w:tc>
          <w:tcPr>
            <w:tcW w:w="3402" w:type="dxa"/>
            <w:tcBorders>
              <w:tl2br w:val="nil"/>
              <w:tr2bl w:val="nil"/>
            </w:tcBorders>
            <w:shd w:val="clear" w:color="auto" w:fill="auto"/>
            <w:vAlign w:val="center"/>
          </w:tcPr>
          <w:p w14:paraId="34180DAD">
            <w:pPr>
              <w:widowControl/>
              <w:spacing w:line="240" w:lineRule="exact"/>
              <w:jc w:val="center"/>
              <w:textAlignment w:val="center"/>
              <w:rPr>
                <w:rFonts w:ascii="黑体" w:hAnsi="黑体" w:eastAsia="黑体" w:cs="黑体"/>
                <w:color w:val="000000"/>
                <w:sz w:val="24"/>
              </w:rPr>
            </w:pPr>
            <w:r>
              <w:rPr>
                <w:rFonts w:hint="eastAsia" w:ascii="黑体" w:hAnsi="黑体" w:eastAsia="黑体" w:cs="黑体"/>
                <w:color w:val="000000"/>
                <w:kern w:val="0"/>
                <w:sz w:val="24"/>
              </w:rPr>
              <w:t>追责情形</w:t>
            </w:r>
          </w:p>
        </w:tc>
        <w:tc>
          <w:tcPr>
            <w:tcW w:w="567" w:type="dxa"/>
            <w:tcBorders>
              <w:tl2br w:val="nil"/>
              <w:tr2bl w:val="nil"/>
            </w:tcBorders>
            <w:shd w:val="clear" w:color="auto" w:fill="auto"/>
            <w:vAlign w:val="center"/>
          </w:tcPr>
          <w:p w14:paraId="7B970A2A">
            <w:pPr>
              <w:widowControl/>
              <w:spacing w:line="240" w:lineRule="exact"/>
              <w:jc w:val="center"/>
              <w:textAlignment w:val="center"/>
              <w:rPr>
                <w:rFonts w:ascii="黑体" w:hAnsi="黑体" w:eastAsia="黑体" w:cs="黑体"/>
                <w:color w:val="000000"/>
                <w:sz w:val="24"/>
              </w:rPr>
            </w:pPr>
            <w:r>
              <w:rPr>
                <w:rFonts w:hint="eastAsia" w:ascii="黑体" w:hAnsi="黑体" w:eastAsia="黑体" w:cs="黑体"/>
                <w:color w:val="000000"/>
                <w:kern w:val="0"/>
                <w:sz w:val="24"/>
              </w:rPr>
              <w:t>备注</w:t>
            </w:r>
          </w:p>
        </w:tc>
      </w:tr>
      <w:tr w14:paraId="7CEC86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166713C5">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w:t>
            </w:r>
          </w:p>
        </w:tc>
        <w:tc>
          <w:tcPr>
            <w:tcW w:w="850" w:type="dxa"/>
            <w:tcBorders>
              <w:tl2br w:val="nil"/>
              <w:tr2bl w:val="nil"/>
            </w:tcBorders>
            <w:shd w:val="clear" w:color="auto" w:fill="auto"/>
            <w:vAlign w:val="center"/>
          </w:tcPr>
          <w:p w14:paraId="156977D0">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行政确认</w:t>
            </w:r>
          </w:p>
        </w:tc>
        <w:tc>
          <w:tcPr>
            <w:tcW w:w="1134" w:type="dxa"/>
            <w:tcBorders>
              <w:tl2br w:val="nil"/>
              <w:tr2bl w:val="nil"/>
            </w:tcBorders>
            <w:shd w:val="clear" w:color="auto" w:fill="auto"/>
            <w:vAlign w:val="center"/>
          </w:tcPr>
          <w:p w14:paraId="0A3F2356">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公有住房出售核定</w:t>
            </w:r>
          </w:p>
        </w:tc>
        <w:tc>
          <w:tcPr>
            <w:tcW w:w="3118" w:type="dxa"/>
            <w:tcBorders>
              <w:tl2br w:val="nil"/>
              <w:tr2bl w:val="nil"/>
            </w:tcBorders>
            <w:shd w:val="clear" w:color="auto" w:fill="auto"/>
            <w:vAlign w:val="center"/>
          </w:tcPr>
          <w:p w14:paraId="439ECA2E">
            <w:pPr>
              <w:widowControl/>
              <w:spacing w:line="240" w:lineRule="exac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1.《河北省人民政府关于深化城镇住房制度改革加快住房建设的通知》</w:t>
            </w:r>
          </w:p>
          <w:p w14:paraId="404C5E9B">
            <w:pPr>
              <w:widowControl/>
              <w:spacing w:line="240" w:lineRule="exac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2.《秦皇岛市出售公有住房暂行办法》</w:t>
            </w:r>
          </w:p>
          <w:p w14:paraId="27D126D1">
            <w:pPr>
              <w:widowControl/>
              <w:spacing w:line="240" w:lineRule="exac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3.《秦皇岛市出售公有住房暂行办法》的补充规定</w:t>
            </w:r>
          </w:p>
        </w:tc>
        <w:tc>
          <w:tcPr>
            <w:tcW w:w="1315" w:type="dxa"/>
            <w:tcBorders>
              <w:tl2br w:val="nil"/>
              <w:tr2bl w:val="nil"/>
            </w:tcBorders>
            <w:shd w:val="clear" w:color="auto" w:fill="auto"/>
            <w:vAlign w:val="center"/>
          </w:tcPr>
          <w:p w14:paraId="6D5F1D63">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785" w:type="dxa"/>
            <w:tcBorders>
              <w:tl2br w:val="nil"/>
              <w:tr2bl w:val="nil"/>
            </w:tcBorders>
            <w:shd w:val="clear" w:color="auto" w:fill="auto"/>
            <w:vAlign w:val="center"/>
          </w:tcPr>
          <w:p w14:paraId="387185B0">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1.受理责任:一次性告知补正材料。</w:t>
            </w:r>
          </w:p>
          <w:p w14:paraId="11082E22">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2.审查责任:审核有关材料，符合要求的，依据政策进行审核；不符合要求的，应当当面通知申请人并退卷。</w:t>
            </w:r>
          </w:p>
        </w:tc>
        <w:tc>
          <w:tcPr>
            <w:tcW w:w="3402" w:type="dxa"/>
            <w:tcBorders>
              <w:tl2br w:val="nil"/>
              <w:tr2bl w:val="nil"/>
            </w:tcBorders>
            <w:shd w:val="clear" w:color="auto" w:fill="auto"/>
            <w:vAlign w:val="center"/>
          </w:tcPr>
          <w:p w14:paraId="2AF4AFEE">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因不履行或不正确履行行政职责，有下列情形的，行政机关及相关工作人员应承担相应责任：</w:t>
            </w:r>
          </w:p>
          <w:p w14:paraId="32E99D7E">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1.对符合受理条件不予受理的；</w:t>
            </w:r>
          </w:p>
          <w:p w14:paraId="63D1A5B6">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2.未严格按照相关政策履行审查义务；</w:t>
            </w:r>
          </w:p>
          <w:p w14:paraId="3A4CEB60">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3.其他违反法律法规规章文件规定的行为。</w:t>
            </w:r>
          </w:p>
        </w:tc>
        <w:tc>
          <w:tcPr>
            <w:tcW w:w="567" w:type="dxa"/>
            <w:tcBorders>
              <w:tl2br w:val="nil"/>
              <w:tr2bl w:val="nil"/>
            </w:tcBorders>
            <w:shd w:val="clear" w:color="auto" w:fill="auto"/>
            <w:vAlign w:val="center"/>
          </w:tcPr>
          <w:p w14:paraId="6D7A2494">
            <w:pPr>
              <w:spacing w:line="240" w:lineRule="exact"/>
              <w:jc w:val="center"/>
              <w:rPr>
                <w:rFonts w:ascii="仿宋_GB2312" w:hAnsi="仿宋_GB2312" w:eastAsia="仿宋_GB2312" w:cs="仿宋_GB2312"/>
                <w:color w:val="000000"/>
                <w:sz w:val="18"/>
                <w:szCs w:val="18"/>
              </w:rPr>
            </w:pPr>
          </w:p>
        </w:tc>
      </w:tr>
      <w:tr w14:paraId="552F13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499431B1">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2</w:t>
            </w:r>
          </w:p>
        </w:tc>
        <w:tc>
          <w:tcPr>
            <w:tcW w:w="850" w:type="dxa"/>
            <w:tcBorders>
              <w:tl2br w:val="nil"/>
              <w:tr2bl w:val="nil"/>
            </w:tcBorders>
            <w:shd w:val="clear" w:color="auto" w:fill="auto"/>
            <w:vAlign w:val="center"/>
          </w:tcPr>
          <w:p w14:paraId="5C40DD24">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行政确认</w:t>
            </w:r>
          </w:p>
        </w:tc>
        <w:tc>
          <w:tcPr>
            <w:tcW w:w="1134" w:type="dxa"/>
            <w:tcBorders>
              <w:tl2br w:val="nil"/>
              <w:tr2bl w:val="nil"/>
            </w:tcBorders>
            <w:shd w:val="clear" w:color="auto" w:fill="auto"/>
            <w:vAlign w:val="center"/>
          </w:tcPr>
          <w:p w14:paraId="6BF22D71">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房屋面积管理</w:t>
            </w:r>
          </w:p>
        </w:tc>
        <w:tc>
          <w:tcPr>
            <w:tcW w:w="3118" w:type="dxa"/>
            <w:tcBorders>
              <w:tl2br w:val="nil"/>
              <w:tr2bl w:val="nil"/>
            </w:tcBorders>
            <w:shd w:val="clear" w:color="auto" w:fill="auto"/>
            <w:vAlign w:val="center"/>
          </w:tcPr>
          <w:p w14:paraId="16A0EBCA">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1.《房产测绘管理办法》（建设部、国家测绘局令〔2000〕83号）第十八条 用于房屋权属登记等房产管理的房产测绘成果，房地产行政主管部门应对实施测单位的资格、测绘成果的适用性、界址点准确性、面积测算依据与方法等内容进行审核。</w:t>
            </w:r>
          </w:p>
          <w:p w14:paraId="2ACCA119">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2.《房屋交易与产权管理工作导则》（建办房[2015]45号）第二章 楼盘表管理</w:t>
            </w:r>
          </w:p>
          <w:p w14:paraId="65C4CEC9">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3.《国土资源部住房城乡建设部关于做好不动产统一登记与房屋交易管理衔接的指导意见》（国土资发〔2015〕90号）</w:t>
            </w:r>
          </w:p>
        </w:tc>
        <w:tc>
          <w:tcPr>
            <w:tcW w:w="1315" w:type="dxa"/>
            <w:tcBorders>
              <w:tl2br w:val="nil"/>
              <w:tr2bl w:val="nil"/>
            </w:tcBorders>
            <w:shd w:val="clear" w:color="auto" w:fill="auto"/>
            <w:vAlign w:val="center"/>
          </w:tcPr>
          <w:p w14:paraId="7353628F">
            <w:pPr>
              <w:jc w:val="center"/>
            </w:pPr>
            <w:r>
              <w:rPr>
                <w:rFonts w:hint="eastAsia" w:ascii="仿宋_GB2312" w:hAnsi="仿宋_GB2312" w:eastAsia="仿宋_GB2312" w:cs="仿宋_GB2312"/>
                <w:color w:val="000000"/>
                <w:kern w:val="0"/>
                <w:sz w:val="18"/>
                <w:szCs w:val="18"/>
              </w:rPr>
              <w:t>山海关区住建局</w:t>
            </w:r>
          </w:p>
        </w:tc>
        <w:tc>
          <w:tcPr>
            <w:tcW w:w="3785" w:type="dxa"/>
            <w:tcBorders>
              <w:tl2br w:val="nil"/>
              <w:tr2bl w:val="nil"/>
            </w:tcBorders>
            <w:shd w:val="clear" w:color="auto" w:fill="auto"/>
            <w:vAlign w:val="center"/>
          </w:tcPr>
          <w:p w14:paraId="2919B0BA">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1.受理责任:公示依法应当提交的材料;一次性告知补正材料;依法受理或不予受理申请人提供的资料。</w:t>
            </w:r>
          </w:p>
          <w:p w14:paraId="2312893F">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2.审查责任:审核房产测绘成果报告和有关材料，符合要求的，组织有关人员对测绘单位的资质、房产测绘成果的适用性、资料格式、房屋现场情况与规划部门审核备案的竣工图房产测绘成果的一致性、功能区的划分及共有共用部分面积的测定及分摊、面积测算的依据和方法等进行审核。</w:t>
            </w:r>
          </w:p>
          <w:p w14:paraId="08EB3D6D">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3.决定责任:做出房测绘成果审核是否通过确认的决定；不符合要求的，应当书面通知申请人。</w:t>
            </w:r>
          </w:p>
          <w:p w14:paraId="23197ED9">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4、送达责任:通过确认的，颁发房产测绘成果审核结果通知书。</w:t>
            </w:r>
          </w:p>
          <w:p w14:paraId="3A57F116">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5、事后监管责任:对房产测绘成果利用情况进行监管。</w:t>
            </w:r>
          </w:p>
          <w:p w14:paraId="3EF2BE07">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6.其他法律法规规章文件规定应履行的责任。</w:t>
            </w:r>
          </w:p>
        </w:tc>
        <w:tc>
          <w:tcPr>
            <w:tcW w:w="3402" w:type="dxa"/>
            <w:tcBorders>
              <w:tl2br w:val="nil"/>
              <w:tr2bl w:val="nil"/>
            </w:tcBorders>
            <w:shd w:val="clear" w:color="auto" w:fill="auto"/>
            <w:vAlign w:val="center"/>
          </w:tcPr>
          <w:p w14:paraId="20C52FC9">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因不履行或不正确履行行政职责，有下列情形的，行政机关及相关工作人员应承担相应责任：</w:t>
            </w:r>
          </w:p>
          <w:p w14:paraId="57751FBF">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1.对符合受理条件的行政确认申请不予受理的；</w:t>
            </w:r>
          </w:p>
          <w:p w14:paraId="5C5A2676">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2.未严格按照相关政策、法律、法规履行审查义务，对应当予以认定的不予认定，或者对不应认定的予以认定；</w:t>
            </w:r>
          </w:p>
          <w:p w14:paraId="7B201678">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3.从事房产测绘管理的工作人员滥用职权、徇私舞弊、玩忽职守的；</w:t>
            </w:r>
          </w:p>
          <w:p w14:paraId="398C76F5">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4.从事房产测绘管理的工作人员索贿、受贿，谋取不正当利益的；</w:t>
            </w:r>
          </w:p>
          <w:p w14:paraId="5EE7B02C">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5.其他违反法律法规规章文件规定的行为。</w:t>
            </w:r>
          </w:p>
        </w:tc>
        <w:tc>
          <w:tcPr>
            <w:tcW w:w="567" w:type="dxa"/>
            <w:tcBorders>
              <w:tl2br w:val="nil"/>
              <w:tr2bl w:val="nil"/>
            </w:tcBorders>
            <w:shd w:val="clear" w:color="auto" w:fill="auto"/>
            <w:vAlign w:val="center"/>
          </w:tcPr>
          <w:p w14:paraId="5EBEA31D">
            <w:pPr>
              <w:spacing w:line="240" w:lineRule="exact"/>
              <w:jc w:val="center"/>
              <w:rPr>
                <w:rFonts w:ascii="仿宋_GB2312" w:hAnsi="仿宋_GB2312" w:eastAsia="仿宋_GB2312" w:cs="仿宋_GB2312"/>
                <w:color w:val="000000"/>
                <w:sz w:val="18"/>
                <w:szCs w:val="18"/>
              </w:rPr>
            </w:pPr>
          </w:p>
        </w:tc>
      </w:tr>
      <w:tr w14:paraId="7AAFEA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2FF9F927">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3</w:t>
            </w:r>
          </w:p>
        </w:tc>
        <w:tc>
          <w:tcPr>
            <w:tcW w:w="850" w:type="dxa"/>
            <w:tcBorders>
              <w:tl2br w:val="nil"/>
              <w:tr2bl w:val="nil"/>
            </w:tcBorders>
            <w:shd w:val="clear" w:color="auto" w:fill="auto"/>
            <w:vAlign w:val="center"/>
          </w:tcPr>
          <w:p w14:paraId="13599246">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行政确认</w:t>
            </w:r>
          </w:p>
        </w:tc>
        <w:tc>
          <w:tcPr>
            <w:tcW w:w="1134" w:type="dxa"/>
            <w:tcBorders>
              <w:tl2br w:val="nil"/>
              <w:tr2bl w:val="nil"/>
            </w:tcBorders>
            <w:shd w:val="clear" w:color="auto" w:fill="auto"/>
            <w:vAlign w:val="center"/>
          </w:tcPr>
          <w:p w14:paraId="37911C58">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楼盘表建立</w:t>
            </w:r>
          </w:p>
        </w:tc>
        <w:tc>
          <w:tcPr>
            <w:tcW w:w="3118" w:type="dxa"/>
            <w:tcBorders>
              <w:tl2br w:val="nil"/>
              <w:tr2bl w:val="nil"/>
            </w:tcBorders>
            <w:shd w:val="clear" w:color="auto" w:fill="auto"/>
            <w:vAlign w:val="center"/>
          </w:tcPr>
          <w:p w14:paraId="0DDFD28B">
            <w:pPr>
              <w:widowControl/>
              <w:spacing w:line="24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1.《房产测绘管理办法》（建设部、国家测绘局令〔2000〕83号）第十八条 用于房屋权属登记等房产管理的房产测绘成果，房地产行政主管部门应对实施测单位的资格、测绘成果的适用性、界址点准确性、面积测算依据与方法等内容进行审核。</w:t>
            </w:r>
          </w:p>
          <w:p w14:paraId="12835292">
            <w:pPr>
              <w:widowControl/>
              <w:spacing w:line="24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2.《房屋交易与产权管理工作导则》（建办房[2015]45号）第二章 楼盘表管理</w:t>
            </w:r>
          </w:p>
          <w:p w14:paraId="0AED9B16">
            <w:pPr>
              <w:widowControl/>
              <w:spacing w:line="24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3.《国土资源部住房城乡建设部关于做好不动产统一登记与房屋交易管理衔接的指导意见》（国土资发〔2015〕90号）</w:t>
            </w:r>
          </w:p>
          <w:p w14:paraId="73AE06AE">
            <w:pPr>
              <w:widowControl/>
              <w:spacing w:line="240" w:lineRule="exact"/>
              <w:jc w:val="left"/>
              <w:textAlignment w:val="center"/>
              <w:rPr>
                <w:rFonts w:ascii="仿宋_GB2312" w:hAnsi="仿宋_GB2312" w:eastAsia="仿宋_GB2312" w:cs="仿宋_GB2312"/>
                <w:color w:val="FF0000"/>
                <w:sz w:val="18"/>
                <w:szCs w:val="18"/>
              </w:rPr>
            </w:pPr>
            <w:r>
              <w:rPr>
                <w:rFonts w:hint="eastAsia" w:ascii="仿宋_GB2312" w:hAnsi="仿宋_GB2312" w:eastAsia="仿宋_GB2312" w:cs="仿宋_GB2312"/>
                <w:kern w:val="0"/>
                <w:sz w:val="18"/>
                <w:szCs w:val="18"/>
              </w:rPr>
              <w:t>4.《关于印发全国房屋网签备案业务数据标准的通知》（建办房[2020]14号）</w:t>
            </w:r>
          </w:p>
        </w:tc>
        <w:tc>
          <w:tcPr>
            <w:tcW w:w="1315" w:type="dxa"/>
            <w:tcBorders>
              <w:tl2br w:val="nil"/>
              <w:tr2bl w:val="nil"/>
            </w:tcBorders>
            <w:shd w:val="clear" w:color="auto" w:fill="auto"/>
            <w:vAlign w:val="center"/>
          </w:tcPr>
          <w:p w14:paraId="6A94A23D">
            <w:pPr>
              <w:jc w:val="center"/>
            </w:pPr>
            <w:r>
              <w:rPr>
                <w:rFonts w:hint="eastAsia" w:ascii="仿宋_GB2312" w:hAnsi="仿宋_GB2312" w:eastAsia="仿宋_GB2312" w:cs="仿宋_GB2312"/>
                <w:color w:val="000000"/>
                <w:kern w:val="0"/>
                <w:sz w:val="18"/>
                <w:szCs w:val="18"/>
              </w:rPr>
              <w:t>山海关区住建局</w:t>
            </w:r>
          </w:p>
        </w:tc>
        <w:tc>
          <w:tcPr>
            <w:tcW w:w="3785" w:type="dxa"/>
            <w:tcBorders>
              <w:tl2br w:val="nil"/>
              <w:tr2bl w:val="nil"/>
            </w:tcBorders>
            <w:shd w:val="clear" w:color="auto" w:fill="auto"/>
            <w:vAlign w:val="center"/>
          </w:tcPr>
          <w:p w14:paraId="5FA0E874">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1.受理责任:公示依法应当提交的材料;一次性告知补正材料;依法受理或不予受理申请人提供的资料。</w:t>
            </w:r>
          </w:p>
          <w:p w14:paraId="61C2EA7C">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2.审查责任:审核房产测绘成果报告和有关材料，符合要求的，组织有关人员对测绘单位的资质、房产测绘成果的适用性、资料格式、房屋现场情况与规划部门审核备案的竣工图房产测绘成果的一致性、功能区的划分及共有共用部分面积的测定及分摊、面积测算的依据和方法等进行审核。</w:t>
            </w:r>
          </w:p>
          <w:p w14:paraId="158C5E9F">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3.决定责任:做出房测绘成果审核是否通过确认的决定；不符合要求的，应当书面通知申请人。</w:t>
            </w:r>
          </w:p>
          <w:p w14:paraId="53687020">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4.送达责任:通过确认的，颁发房产测绘成果审核结果通知书。</w:t>
            </w:r>
          </w:p>
          <w:p w14:paraId="160790D9">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5.事后监管责任:对房产测绘成果利用情况进行监管。</w:t>
            </w:r>
          </w:p>
          <w:p w14:paraId="4E88AA82">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6.其他法律法规规章文件规定应履行的责任。</w:t>
            </w:r>
          </w:p>
        </w:tc>
        <w:tc>
          <w:tcPr>
            <w:tcW w:w="3402" w:type="dxa"/>
            <w:tcBorders>
              <w:tl2br w:val="nil"/>
              <w:tr2bl w:val="nil"/>
            </w:tcBorders>
            <w:shd w:val="clear" w:color="auto" w:fill="auto"/>
            <w:vAlign w:val="center"/>
          </w:tcPr>
          <w:p w14:paraId="1B880269">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因不履行或不正确履行行政职责，有下列情形的，行政机关及相关工作人员应承担相应责任：</w:t>
            </w:r>
          </w:p>
          <w:p w14:paraId="3105E0D9">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1.对符合受理条件的行政确认申请不予受理的；</w:t>
            </w:r>
          </w:p>
          <w:p w14:paraId="7EE7F6A0">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2.未严格按照相关政策、法律、法规履行审查义务，对应当予以认定的不予认定，或者对不应认定的予以认定；</w:t>
            </w:r>
          </w:p>
          <w:p w14:paraId="3CD718AE">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3.从事房产测绘管理的工作人员滥用职权、徇私舞弊、玩忽职守的；</w:t>
            </w:r>
          </w:p>
          <w:p w14:paraId="1DEFB95D">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4.从事房产测绘管理的工作人员索贿、受贿，谋取不正当利益的；</w:t>
            </w:r>
          </w:p>
          <w:p w14:paraId="29A3EAF5">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5.其他违反法律法规规章文件规定的行为。</w:t>
            </w:r>
          </w:p>
        </w:tc>
        <w:tc>
          <w:tcPr>
            <w:tcW w:w="567" w:type="dxa"/>
            <w:tcBorders>
              <w:tl2br w:val="nil"/>
              <w:tr2bl w:val="nil"/>
            </w:tcBorders>
            <w:shd w:val="clear" w:color="auto" w:fill="auto"/>
            <w:vAlign w:val="center"/>
          </w:tcPr>
          <w:p w14:paraId="3F9A8F80">
            <w:pPr>
              <w:spacing w:line="240" w:lineRule="exact"/>
              <w:jc w:val="center"/>
              <w:rPr>
                <w:rFonts w:ascii="仿宋_GB2312" w:hAnsi="仿宋_GB2312" w:eastAsia="仿宋_GB2312" w:cs="仿宋_GB2312"/>
                <w:color w:val="000000"/>
                <w:sz w:val="18"/>
                <w:szCs w:val="18"/>
              </w:rPr>
            </w:pPr>
          </w:p>
        </w:tc>
      </w:tr>
      <w:tr w14:paraId="21F048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4E849F0D">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4</w:t>
            </w:r>
          </w:p>
        </w:tc>
        <w:tc>
          <w:tcPr>
            <w:tcW w:w="850" w:type="dxa"/>
            <w:tcBorders>
              <w:tl2br w:val="nil"/>
              <w:tr2bl w:val="nil"/>
            </w:tcBorders>
            <w:shd w:val="clear" w:color="auto" w:fill="auto"/>
            <w:vAlign w:val="center"/>
          </w:tcPr>
          <w:p w14:paraId="74CD2B51">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行政确认</w:t>
            </w:r>
          </w:p>
        </w:tc>
        <w:tc>
          <w:tcPr>
            <w:tcW w:w="1134" w:type="dxa"/>
            <w:tcBorders>
              <w:tl2br w:val="nil"/>
              <w:tr2bl w:val="nil"/>
            </w:tcBorders>
            <w:shd w:val="clear" w:color="auto" w:fill="auto"/>
            <w:vAlign w:val="center"/>
          </w:tcPr>
          <w:p w14:paraId="4A9E9290">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房产实测成果审核与管理</w:t>
            </w:r>
          </w:p>
        </w:tc>
        <w:tc>
          <w:tcPr>
            <w:tcW w:w="3118" w:type="dxa"/>
            <w:tcBorders>
              <w:tl2br w:val="nil"/>
              <w:tr2bl w:val="nil"/>
            </w:tcBorders>
            <w:shd w:val="clear" w:color="auto" w:fill="auto"/>
            <w:vAlign w:val="center"/>
          </w:tcPr>
          <w:p w14:paraId="244435D3">
            <w:pPr>
              <w:widowControl/>
              <w:spacing w:line="24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1.《房产测绘管理办法》（建设部、国家测绘局令〔2000〕83号）第十八条 用于房屋权属登记等房产管理的房产测绘成果，房地产行政主管部门应对实施测单位的资格、测绘成果的适用性、界址点准确性、面积测算依据与方法等内容进行审核。</w:t>
            </w:r>
          </w:p>
          <w:p w14:paraId="0084C334">
            <w:pPr>
              <w:widowControl/>
              <w:spacing w:line="24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2.《房屋交易与产权管理工作导则》（建办房[2015]45号）第二章 楼盘表管理</w:t>
            </w:r>
          </w:p>
          <w:p w14:paraId="2B6AEA74">
            <w:pPr>
              <w:widowControl/>
              <w:spacing w:line="24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3.《国土资源部住房城乡建设部关于做好不动产统一登记与房屋交易管理衔接的指导意见》（国土资发〔2015〕90号）</w:t>
            </w:r>
          </w:p>
          <w:p w14:paraId="56ABDD47">
            <w:pPr>
              <w:widowControl/>
              <w:spacing w:line="240" w:lineRule="exact"/>
              <w:jc w:val="left"/>
              <w:textAlignment w:val="center"/>
              <w:rPr>
                <w:rFonts w:ascii="仿宋_GB2312" w:hAnsi="仿宋_GB2312" w:eastAsia="仿宋_GB2312" w:cs="仿宋_GB2312"/>
                <w:color w:val="FF0000"/>
                <w:sz w:val="18"/>
                <w:szCs w:val="18"/>
              </w:rPr>
            </w:pPr>
            <w:r>
              <w:rPr>
                <w:rFonts w:hint="eastAsia" w:ascii="仿宋_GB2312" w:hAnsi="仿宋_GB2312" w:eastAsia="仿宋_GB2312" w:cs="仿宋_GB2312"/>
                <w:kern w:val="0"/>
                <w:sz w:val="18"/>
                <w:szCs w:val="18"/>
              </w:rPr>
              <w:t>4、《关于印发全国房屋网签备案业务数据标准的通知》（建办房[2020]14号）</w:t>
            </w:r>
          </w:p>
        </w:tc>
        <w:tc>
          <w:tcPr>
            <w:tcW w:w="1315" w:type="dxa"/>
            <w:tcBorders>
              <w:tl2br w:val="nil"/>
              <w:tr2bl w:val="nil"/>
            </w:tcBorders>
            <w:shd w:val="clear" w:color="auto" w:fill="auto"/>
            <w:vAlign w:val="center"/>
          </w:tcPr>
          <w:p w14:paraId="1ECEB8B4">
            <w:pPr>
              <w:jc w:val="center"/>
            </w:pPr>
            <w:r>
              <w:rPr>
                <w:rFonts w:hint="eastAsia" w:ascii="仿宋_GB2312" w:hAnsi="仿宋_GB2312" w:eastAsia="仿宋_GB2312" w:cs="仿宋_GB2312"/>
                <w:color w:val="000000"/>
                <w:kern w:val="0"/>
                <w:sz w:val="18"/>
                <w:szCs w:val="18"/>
              </w:rPr>
              <w:t>山海关区住建局</w:t>
            </w:r>
          </w:p>
        </w:tc>
        <w:tc>
          <w:tcPr>
            <w:tcW w:w="3785" w:type="dxa"/>
            <w:tcBorders>
              <w:tl2br w:val="nil"/>
              <w:tr2bl w:val="nil"/>
            </w:tcBorders>
            <w:shd w:val="clear" w:color="auto" w:fill="auto"/>
            <w:vAlign w:val="center"/>
          </w:tcPr>
          <w:p w14:paraId="166040B2">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1.受理责任:公示依法应当提交的材料;一次性告知补正材料;依法受理或不予受理申请人提供的资料。</w:t>
            </w:r>
          </w:p>
          <w:p w14:paraId="38974266">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2.审查责任:审核房产测绘成果报告和有关材料，符合要求的，组织有关人员对测绘单位的资质、房产测绘成果的适用性、资料格式、房屋现场情况与规划部门审核备案的竣工图房产测绘成果的一致性、功能区的划分及共有共用部分面积的测定及分摊、面积测算的依据和方法等进行审核。</w:t>
            </w:r>
          </w:p>
          <w:p w14:paraId="7245C210">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3.决定责任:做出房测绘成果审核是否通过确认的决定；不符合要求的，应当书面通知申请人。</w:t>
            </w:r>
          </w:p>
          <w:p w14:paraId="7A8919FC">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4.送达责任:通过确认的，颁发房产测绘成果审核结果通知书,并对外公示。</w:t>
            </w:r>
          </w:p>
          <w:p w14:paraId="678E7ACF">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5.事后监管责任:对房产测绘成果利用情况进行监管。</w:t>
            </w:r>
          </w:p>
          <w:p w14:paraId="3A8F20B8">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6.其他法律法规规章文件规定应履行的责任。</w:t>
            </w:r>
          </w:p>
        </w:tc>
        <w:tc>
          <w:tcPr>
            <w:tcW w:w="3402" w:type="dxa"/>
            <w:tcBorders>
              <w:tl2br w:val="nil"/>
              <w:tr2bl w:val="nil"/>
            </w:tcBorders>
            <w:shd w:val="clear" w:color="auto" w:fill="auto"/>
            <w:vAlign w:val="center"/>
          </w:tcPr>
          <w:p w14:paraId="605F2287">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因不履行或不正确履行行政职责，有下列情形的，行政机关及相关工作人员应承担相应责任：</w:t>
            </w:r>
          </w:p>
          <w:p w14:paraId="4256F4F9">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1.对符合受理条件的行政确认申请不予受理的；</w:t>
            </w:r>
          </w:p>
          <w:p w14:paraId="790E1E7F">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2.未严格按照相关政策、法律、法规履行审查义务，对应当予以认定的不予认定，或者对不应认定的予以认定；</w:t>
            </w:r>
          </w:p>
          <w:p w14:paraId="6CC405C9">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3.从事房产测绘管理的工作人员滥用职权、徇私舞弊、玩忽职守的；</w:t>
            </w:r>
          </w:p>
          <w:p w14:paraId="3184599C">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4.从事房产测绘管理的工作人员索贿、受贿，谋取不正当利益的；</w:t>
            </w:r>
          </w:p>
          <w:p w14:paraId="0EED02BF">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5.其他违反法律法规规章文件规定的行为。</w:t>
            </w:r>
          </w:p>
        </w:tc>
        <w:tc>
          <w:tcPr>
            <w:tcW w:w="567" w:type="dxa"/>
            <w:tcBorders>
              <w:tl2br w:val="nil"/>
              <w:tr2bl w:val="nil"/>
            </w:tcBorders>
            <w:shd w:val="clear" w:color="auto" w:fill="auto"/>
            <w:vAlign w:val="center"/>
          </w:tcPr>
          <w:p w14:paraId="4DBA0055">
            <w:pPr>
              <w:spacing w:line="240" w:lineRule="exact"/>
              <w:jc w:val="center"/>
              <w:rPr>
                <w:rFonts w:ascii="仿宋_GB2312" w:hAnsi="仿宋_GB2312" w:eastAsia="仿宋_GB2312" w:cs="仿宋_GB2312"/>
                <w:color w:val="000000"/>
                <w:sz w:val="18"/>
                <w:szCs w:val="18"/>
              </w:rPr>
            </w:pPr>
          </w:p>
        </w:tc>
      </w:tr>
      <w:tr w14:paraId="52B4A7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16C1FDDC">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5</w:t>
            </w:r>
          </w:p>
        </w:tc>
        <w:tc>
          <w:tcPr>
            <w:tcW w:w="850" w:type="dxa"/>
            <w:tcBorders>
              <w:tl2br w:val="nil"/>
              <w:tr2bl w:val="nil"/>
            </w:tcBorders>
            <w:shd w:val="clear" w:color="auto" w:fill="auto"/>
            <w:vAlign w:val="center"/>
          </w:tcPr>
          <w:p w14:paraId="3E7A706F">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行政确认</w:t>
            </w:r>
          </w:p>
        </w:tc>
        <w:tc>
          <w:tcPr>
            <w:tcW w:w="1134" w:type="dxa"/>
            <w:tcBorders>
              <w:tl2br w:val="nil"/>
              <w:tr2bl w:val="nil"/>
            </w:tcBorders>
            <w:shd w:val="clear" w:color="auto" w:fill="auto"/>
            <w:vAlign w:val="center"/>
          </w:tcPr>
          <w:p w14:paraId="4D263EAE">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房产信息查询</w:t>
            </w:r>
          </w:p>
        </w:tc>
        <w:tc>
          <w:tcPr>
            <w:tcW w:w="3118" w:type="dxa"/>
            <w:tcBorders>
              <w:tl2br w:val="nil"/>
              <w:tr2bl w:val="nil"/>
            </w:tcBorders>
            <w:shd w:val="clear" w:color="auto" w:fill="auto"/>
            <w:vAlign w:val="center"/>
          </w:tcPr>
          <w:p w14:paraId="7DF48975">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《房屋交易与产权管理工作导则》（建办房【2015】45号）第八章 房屋交易与产权档案管理8.1各地应制定房屋交易与产权档案管理制度，加强房屋交易与产权档案资料管理，确保档案资料的完整、准确、安全和有效利用。8.2房屋交易与产权档案应采用纸质形式或电子形式，同时采用纸质形式和电子形式归集的，两者应保持一致。8.3房屋交易与产权档案主要包括：（一）房屋测绘成果资料；（二）预售许可、现售备案资料；（三）资金监管资料；（四）房屋转让资料；（五）房屋抵押资料；　　（六）房屋租赁资料；（七）房屋交易与产权管理中形成的电子资料及其他档案资料。8.4采用纸质形式保存的房屋交易与产权档案应按《中华人民共和国档案法》等法律法规规定进行管理。8.5鼓励各地按《纸质档案数字化技术规范》（DA/T31-2005）进行房屋交易与产权档案数字化管理。电子形式的房屋交易与产权档案按件建立，一次交易为一件。按件建立的电子目录，应通过房屋编码实现档案关联。8.6房产管理部门应按《中华人民共和国档案法》等相关法律法规，提供房屋交易与产权档案查询、复制等服务。8.7房产管理部门与不动产登记机构依法办理交易和登记业务时，需要查询登记簿等登记档案和房屋交易与产权档案的，应相互配合。</w:t>
            </w:r>
          </w:p>
        </w:tc>
        <w:tc>
          <w:tcPr>
            <w:tcW w:w="1315" w:type="dxa"/>
            <w:tcBorders>
              <w:tl2br w:val="nil"/>
              <w:tr2bl w:val="nil"/>
            </w:tcBorders>
            <w:shd w:val="clear" w:color="auto" w:fill="auto"/>
            <w:vAlign w:val="center"/>
          </w:tcPr>
          <w:p w14:paraId="5FC29221">
            <w:pPr>
              <w:jc w:val="center"/>
            </w:pPr>
            <w:r>
              <w:rPr>
                <w:rFonts w:hint="eastAsia" w:ascii="仿宋_GB2312" w:hAnsi="仿宋_GB2312" w:eastAsia="仿宋_GB2312" w:cs="仿宋_GB2312"/>
                <w:color w:val="000000"/>
                <w:kern w:val="0"/>
                <w:sz w:val="18"/>
                <w:szCs w:val="18"/>
              </w:rPr>
              <w:t>山海关区住建局</w:t>
            </w:r>
          </w:p>
        </w:tc>
        <w:tc>
          <w:tcPr>
            <w:tcW w:w="3785" w:type="dxa"/>
            <w:tcBorders>
              <w:tl2br w:val="nil"/>
              <w:tr2bl w:val="nil"/>
            </w:tcBorders>
            <w:shd w:val="clear" w:color="auto" w:fill="auto"/>
            <w:vAlign w:val="center"/>
          </w:tcPr>
          <w:p w14:paraId="2CF224C3">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1.受理责任：一次性告知提交材料；依法受理或不予受理意见。</w:t>
            </w:r>
          </w:p>
          <w:p w14:paraId="269BFA94">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2.其他法律法规规章文件规定应履行的责任。</w:t>
            </w:r>
          </w:p>
        </w:tc>
        <w:tc>
          <w:tcPr>
            <w:tcW w:w="3402" w:type="dxa"/>
            <w:tcBorders>
              <w:tl2br w:val="nil"/>
              <w:tr2bl w:val="nil"/>
            </w:tcBorders>
            <w:shd w:val="clear" w:color="auto" w:fill="auto"/>
            <w:vAlign w:val="center"/>
          </w:tcPr>
          <w:p w14:paraId="515ED904">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因不履行或不正确履行行政职责，有下列情形的，行政机关及相关工作人员应承担相应责任：</w:t>
            </w:r>
          </w:p>
          <w:p w14:paraId="41542FDF">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1.在工作中玩忽职守、徇私舞弊的；</w:t>
            </w:r>
          </w:p>
          <w:p w14:paraId="622FEDED">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2.其他违反法律法规规章文件规定的行为。</w:t>
            </w:r>
          </w:p>
        </w:tc>
        <w:tc>
          <w:tcPr>
            <w:tcW w:w="567" w:type="dxa"/>
            <w:tcBorders>
              <w:tl2br w:val="nil"/>
              <w:tr2bl w:val="nil"/>
            </w:tcBorders>
            <w:shd w:val="clear" w:color="auto" w:fill="auto"/>
            <w:vAlign w:val="center"/>
          </w:tcPr>
          <w:p w14:paraId="76250A6F">
            <w:pPr>
              <w:spacing w:line="240" w:lineRule="exact"/>
              <w:jc w:val="center"/>
              <w:rPr>
                <w:rFonts w:ascii="仿宋_GB2312" w:hAnsi="仿宋_GB2312" w:eastAsia="仿宋_GB2312" w:cs="仿宋_GB2312"/>
                <w:color w:val="000000"/>
                <w:sz w:val="18"/>
                <w:szCs w:val="18"/>
              </w:rPr>
            </w:pPr>
          </w:p>
        </w:tc>
      </w:tr>
      <w:tr w14:paraId="266BCE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7F7640CB">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6</w:t>
            </w:r>
          </w:p>
        </w:tc>
        <w:tc>
          <w:tcPr>
            <w:tcW w:w="850" w:type="dxa"/>
            <w:tcBorders>
              <w:tl2br w:val="nil"/>
              <w:tr2bl w:val="nil"/>
            </w:tcBorders>
            <w:shd w:val="clear" w:color="auto" w:fill="auto"/>
            <w:vAlign w:val="center"/>
          </w:tcPr>
          <w:p w14:paraId="2B37FBB3">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行政确认</w:t>
            </w:r>
          </w:p>
        </w:tc>
        <w:tc>
          <w:tcPr>
            <w:tcW w:w="1134" w:type="dxa"/>
            <w:tcBorders>
              <w:tl2br w:val="nil"/>
              <w:tr2bl w:val="nil"/>
            </w:tcBorders>
            <w:shd w:val="clear" w:color="auto" w:fill="auto"/>
            <w:vAlign w:val="center"/>
          </w:tcPr>
          <w:p w14:paraId="1405C6E1">
            <w:pPr>
              <w:widowControl/>
              <w:spacing w:line="240" w:lineRule="exact"/>
              <w:textAlignment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工程质量监督</w:t>
            </w:r>
          </w:p>
        </w:tc>
        <w:tc>
          <w:tcPr>
            <w:tcW w:w="3118" w:type="dxa"/>
            <w:tcBorders>
              <w:tl2br w:val="nil"/>
              <w:tr2bl w:val="nil"/>
            </w:tcBorders>
            <w:shd w:val="clear" w:color="auto" w:fill="auto"/>
            <w:vAlign w:val="center"/>
          </w:tcPr>
          <w:p w14:paraId="683438C6">
            <w:pPr>
              <w:widowControl/>
              <w:spacing w:line="240" w:lineRule="exac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河北省房屋建筑和市政基础设施工程质量监督管理实施办法》（冀建质〔2012〕175号）和《河北省住建厅关于修订&lt;房屋建筑和市政基础设施工程质量监督管理实施办法&gt;的通知》（冀建质〔2015〕46号）第九条 主管部门对工程质量实施监督采取以有计划的随机抽查、抽测为主的方式进行。第十五条 监督机构在建设单位办理质量监督手续时，应当查验以下资料：(一)施工图设计文件审查报告及合格书：(二)备案的施工、监理合同；(三)工程质量监督手续申报表（附件1）及工程质量责任主体的资质证书、组织机构代码证和相关人员资格证书：(四)见证取样送检见证人授权书：(五)按要求签署《法定代表人授权书》；(六)按要求签署《质量终身责任承诺书》。质量监督手续查验应当填写《工程质量监督手续审查表》（附件2）。经查验，上述资料符合要求的，监督机构出具《工程质量监督手续受理单》（附件3）；不符合要求的，出具《工程质量监督手续不予受理单》（附件4）。</w:t>
            </w:r>
          </w:p>
          <w:p w14:paraId="347B5D59">
            <w:pPr>
              <w:widowControl/>
              <w:spacing w:line="240" w:lineRule="exac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2.《房屋建筑和市政基础设施工程质量监督管理规定》（住房和城乡建设部令第5号）第六条 对工程项目实施质量监督，应当依照下列程序进行:(一)受理建设单位办理质量监督手续;(二)制订工作计划并组织实;(三)对工程实体质量、工程质量责任主体和质量检测等单位的工程质量行为进行抽查、抽测;(四)监督</w:t>
            </w:r>
            <w:r>
              <w:fldChar w:fldCharType="begin"/>
            </w:r>
            <w:r>
              <w:instrText xml:space="preserve"> HYPERLINK "https://baike.so.com/doc/889927-940723.html" \t "https://baike.so.com/doc/_blank" </w:instrText>
            </w:r>
            <w:r>
              <w:fldChar w:fldCharType="separate"/>
            </w:r>
            <w:r>
              <w:rPr>
                <w:rFonts w:hint="eastAsia" w:ascii="仿宋_GB2312" w:hAnsi="仿宋_GB2312" w:eastAsia="仿宋_GB2312" w:cs="仿宋_GB2312"/>
                <w:kern w:val="0"/>
                <w:sz w:val="18"/>
                <w:szCs w:val="18"/>
              </w:rPr>
              <w:t>工程竣工验收</w:t>
            </w:r>
            <w:r>
              <w:rPr>
                <w:rFonts w:hint="eastAsia" w:ascii="仿宋_GB2312" w:hAnsi="仿宋_GB2312" w:eastAsia="仿宋_GB2312" w:cs="仿宋_GB2312"/>
                <w:kern w:val="0"/>
                <w:sz w:val="18"/>
                <w:szCs w:val="18"/>
              </w:rPr>
              <w:fldChar w:fldCharType="end"/>
            </w:r>
            <w:r>
              <w:rPr>
                <w:rFonts w:hint="eastAsia" w:ascii="仿宋_GB2312" w:hAnsi="仿宋_GB2312" w:eastAsia="仿宋_GB2312" w:cs="仿宋_GB2312"/>
                <w:kern w:val="0"/>
                <w:sz w:val="18"/>
                <w:szCs w:val="18"/>
              </w:rPr>
              <w:t>，重点对验收的组织形式、程序等是否符合有关规定进行监督;(五)形成工程质量监督报告;(六)建立</w:t>
            </w:r>
            <w:r>
              <w:fldChar w:fldCharType="begin"/>
            </w:r>
            <w:r>
              <w:instrText xml:space="preserve"> HYPERLINK "https://baike.so.com/doc/8941681-9269043.html" \t "https://baike.so.com/doc/_blank" </w:instrText>
            </w:r>
            <w:r>
              <w:fldChar w:fldCharType="separate"/>
            </w:r>
            <w:r>
              <w:rPr>
                <w:rFonts w:hint="eastAsia" w:ascii="仿宋_GB2312" w:hAnsi="仿宋_GB2312" w:eastAsia="仿宋_GB2312" w:cs="仿宋_GB2312"/>
                <w:kern w:val="0"/>
                <w:sz w:val="18"/>
                <w:szCs w:val="18"/>
              </w:rPr>
              <w:t>工程质量监督档案</w:t>
            </w:r>
            <w:r>
              <w:rPr>
                <w:rFonts w:hint="eastAsia" w:ascii="仿宋_GB2312" w:hAnsi="仿宋_GB2312" w:eastAsia="仿宋_GB2312" w:cs="仿宋_GB2312"/>
                <w:kern w:val="0"/>
                <w:sz w:val="18"/>
                <w:szCs w:val="18"/>
              </w:rPr>
              <w:fldChar w:fldCharType="end"/>
            </w:r>
            <w:r>
              <w:rPr>
                <w:rFonts w:hint="eastAsia" w:ascii="仿宋_GB2312" w:hAnsi="仿宋_GB2312" w:eastAsia="仿宋_GB2312" w:cs="仿宋_GB2312"/>
                <w:kern w:val="0"/>
                <w:sz w:val="18"/>
                <w:szCs w:val="18"/>
              </w:rPr>
              <w:t>。</w:t>
            </w:r>
          </w:p>
          <w:p w14:paraId="4B2156E0">
            <w:pPr>
              <w:widowControl/>
              <w:spacing w:line="240" w:lineRule="exact"/>
              <w:textAlignment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3.《建设工程质量管理条例》第十三条 建设单位在领取施工许可证或者开工报告前，应当按照国家有关规定办理工程质量监督手续。</w:t>
            </w:r>
            <w:bookmarkStart w:id="0" w:name="4803240-5019534-2_14"/>
            <w:bookmarkEnd w:id="0"/>
          </w:p>
        </w:tc>
        <w:tc>
          <w:tcPr>
            <w:tcW w:w="1315" w:type="dxa"/>
            <w:tcBorders>
              <w:tl2br w:val="nil"/>
              <w:tr2bl w:val="nil"/>
            </w:tcBorders>
            <w:shd w:val="clear" w:color="auto" w:fill="auto"/>
            <w:vAlign w:val="center"/>
          </w:tcPr>
          <w:p w14:paraId="61B0CC2C">
            <w:pPr>
              <w:jc w:val="center"/>
            </w:pPr>
            <w:r>
              <w:rPr>
                <w:rFonts w:hint="eastAsia" w:ascii="仿宋_GB2312" w:hAnsi="仿宋_GB2312" w:eastAsia="仿宋_GB2312" w:cs="仿宋_GB2312"/>
                <w:color w:val="000000"/>
                <w:kern w:val="0"/>
                <w:sz w:val="18"/>
                <w:szCs w:val="18"/>
              </w:rPr>
              <w:t>山海关区住建局</w:t>
            </w:r>
          </w:p>
        </w:tc>
        <w:tc>
          <w:tcPr>
            <w:tcW w:w="3785" w:type="dxa"/>
            <w:tcBorders>
              <w:tl2br w:val="nil"/>
              <w:tr2bl w:val="nil"/>
            </w:tcBorders>
            <w:shd w:val="clear" w:color="auto" w:fill="auto"/>
            <w:vAlign w:val="center"/>
          </w:tcPr>
          <w:p w14:paraId="13695E11">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1.受理环节责任：查验申请材料，材料不完整的，应当一次性告知申请人需要补正的全部材料；收到申请人提交的全部补正材料后，应当作出受理或者不予受理的决定，不予受理的，应当告知理由。</w:t>
            </w:r>
          </w:p>
          <w:p w14:paraId="3C9A8D25">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2.审查阶段责任：材料审核，提出审查意见。</w:t>
            </w:r>
          </w:p>
          <w:p w14:paraId="27DF3160">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3.其他法律法规规章规定的应履行的责任。</w:t>
            </w:r>
          </w:p>
        </w:tc>
        <w:tc>
          <w:tcPr>
            <w:tcW w:w="3402" w:type="dxa"/>
            <w:tcBorders>
              <w:tl2br w:val="nil"/>
              <w:tr2bl w:val="nil"/>
            </w:tcBorders>
            <w:shd w:val="clear" w:color="auto" w:fill="auto"/>
            <w:vAlign w:val="center"/>
          </w:tcPr>
          <w:p w14:paraId="726A97AD">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因不履行或不正确履行行政职责，有下列情形的，行政机关及相关工作人员应承担相应责任：</w:t>
            </w:r>
          </w:p>
          <w:p w14:paraId="190EACA7">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1.符合申报条件不予受理、不予办理的；</w:t>
            </w:r>
          </w:p>
          <w:p w14:paraId="4C3D4E28">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2.不符合申报条件予以受理、办理的；</w:t>
            </w:r>
          </w:p>
          <w:p w14:paraId="7B707176">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3.执法人员玩忽职守、滥用职权、循私舞弊的；</w:t>
            </w:r>
          </w:p>
          <w:p w14:paraId="319B587B">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4.其他违反法律法规规章规定的行为。</w:t>
            </w:r>
          </w:p>
        </w:tc>
        <w:tc>
          <w:tcPr>
            <w:tcW w:w="567" w:type="dxa"/>
            <w:tcBorders>
              <w:tl2br w:val="nil"/>
              <w:tr2bl w:val="nil"/>
            </w:tcBorders>
            <w:shd w:val="clear" w:color="auto" w:fill="auto"/>
            <w:vAlign w:val="center"/>
          </w:tcPr>
          <w:p w14:paraId="77A9B16A">
            <w:pPr>
              <w:spacing w:line="240" w:lineRule="exact"/>
              <w:jc w:val="center"/>
              <w:rPr>
                <w:rFonts w:ascii="仿宋_GB2312" w:hAnsi="仿宋_GB2312" w:eastAsia="仿宋_GB2312" w:cs="仿宋_GB2312"/>
                <w:color w:val="000000"/>
                <w:sz w:val="18"/>
                <w:szCs w:val="18"/>
              </w:rPr>
            </w:pPr>
          </w:p>
        </w:tc>
      </w:tr>
      <w:tr w14:paraId="0B5B26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28EF7F69">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7</w:t>
            </w:r>
          </w:p>
        </w:tc>
        <w:tc>
          <w:tcPr>
            <w:tcW w:w="850" w:type="dxa"/>
            <w:tcBorders>
              <w:tl2br w:val="nil"/>
              <w:tr2bl w:val="nil"/>
            </w:tcBorders>
            <w:shd w:val="clear" w:color="auto" w:fill="auto"/>
            <w:vAlign w:val="center"/>
          </w:tcPr>
          <w:p w14:paraId="65C0C131">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行政确认</w:t>
            </w:r>
          </w:p>
        </w:tc>
        <w:tc>
          <w:tcPr>
            <w:tcW w:w="1134" w:type="dxa"/>
            <w:tcBorders>
              <w:tl2br w:val="nil"/>
              <w:tr2bl w:val="nil"/>
            </w:tcBorders>
            <w:shd w:val="clear" w:color="auto" w:fill="auto"/>
            <w:vAlign w:val="center"/>
          </w:tcPr>
          <w:p w14:paraId="2256D0F7">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招投标情况书面报告提交</w:t>
            </w:r>
          </w:p>
        </w:tc>
        <w:tc>
          <w:tcPr>
            <w:tcW w:w="3118" w:type="dxa"/>
            <w:tcBorders>
              <w:tl2br w:val="nil"/>
              <w:tr2bl w:val="nil"/>
            </w:tcBorders>
            <w:shd w:val="clear" w:color="auto" w:fill="auto"/>
            <w:vAlign w:val="center"/>
          </w:tcPr>
          <w:p w14:paraId="65561717">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1.《中华人民共和国招标投标法》（主席令第21号）第四十七条 依法必须进行招标的项目，招标人应当自确定中标人之日起十五日内，向有关行政监督部门提交招标投标情况的书面报告。</w:t>
            </w:r>
          </w:p>
          <w:p w14:paraId="2059796A">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2.《房屋建筑与市政基础设施工程施工招标投标管理办法》（建设部令第89号）第四十四条 依法必须进行施工招标的工程，招标人应当自确定中标人之日起15日内，向工程所在地的县级以上地方人民政府建设行政主管部门提交施工招标投标情况的书面报告。 </w:t>
            </w:r>
          </w:p>
          <w:p w14:paraId="6E98AE7C">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 xml:space="preserve">3.《河北省建筑条例》（河北省第十届人民代表大会常务委员会公告第22号）第十八条 依法必须进行招标的建筑工程的招标人应当自确定中标人之日起十五日内，向建设行政主管部门提交招标投标情况的书面报告。 </w:t>
            </w:r>
          </w:p>
        </w:tc>
        <w:tc>
          <w:tcPr>
            <w:tcW w:w="1315" w:type="dxa"/>
            <w:tcBorders>
              <w:tl2br w:val="nil"/>
              <w:tr2bl w:val="nil"/>
            </w:tcBorders>
            <w:shd w:val="clear" w:color="auto" w:fill="auto"/>
            <w:vAlign w:val="center"/>
          </w:tcPr>
          <w:p w14:paraId="3E6C48CA">
            <w:pPr>
              <w:jc w:val="center"/>
            </w:pPr>
            <w:r>
              <w:rPr>
                <w:rFonts w:hint="eastAsia" w:ascii="仿宋_GB2312" w:hAnsi="仿宋_GB2312" w:eastAsia="仿宋_GB2312" w:cs="仿宋_GB2312"/>
                <w:color w:val="000000"/>
                <w:kern w:val="0"/>
                <w:sz w:val="18"/>
                <w:szCs w:val="18"/>
              </w:rPr>
              <w:t>山海关区住建局</w:t>
            </w:r>
          </w:p>
        </w:tc>
        <w:tc>
          <w:tcPr>
            <w:tcW w:w="3785" w:type="dxa"/>
            <w:tcBorders>
              <w:tl2br w:val="nil"/>
              <w:tr2bl w:val="nil"/>
            </w:tcBorders>
            <w:shd w:val="clear" w:color="auto" w:fill="auto"/>
            <w:vAlign w:val="center"/>
          </w:tcPr>
          <w:p w14:paraId="7F43C862">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受理责任：申请人提交符合法定要求的备案资料，即提交备案申请。申请资料齐全、符合法定要求的，应当受理申请；申请资料不齐全或者不符合法定要求的，应当告知申请人需要补正的全部内容；不得要求申请人提交无关的材料；不符合条件的，不予受理。</w:t>
            </w:r>
          </w:p>
          <w:p w14:paraId="38EAA86A">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2.审查责任：符合法定备案要求的，核准后予以备案。不符合法定备案要求的，打回并说明原因。</w:t>
            </w:r>
          </w:p>
          <w:p w14:paraId="38130331">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3.其他法律法规规章文件规定应履行的责任。</w:t>
            </w:r>
          </w:p>
        </w:tc>
        <w:tc>
          <w:tcPr>
            <w:tcW w:w="3402" w:type="dxa"/>
            <w:tcBorders>
              <w:tl2br w:val="nil"/>
              <w:tr2bl w:val="nil"/>
            </w:tcBorders>
            <w:shd w:val="clear" w:color="auto" w:fill="auto"/>
            <w:vAlign w:val="center"/>
          </w:tcPr>
          <w:p w14:paraId="12AD00B8">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因不履行或不正确履行行政职责，有下列情形的，行政机关及相关工作人员应承担相应责任：</w:t>
            </w:r>
          </w:p>
          <w:p w14:paraId="70C7F197">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1.对符合备案受理条件而不予备案的；</w:t>
            </w:r>
          </w:p>
          <w:p w14:paraId="5A9AB475">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2.对不符合条件规定的备案申请予以受理的；</w:t>
            </w:r>
          </w:p>
          <w:p w14:paraId="766A0BA7">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3.擅自取消或停止备案的；</w:t>
            </w:r>
          </w:p>
          <w:p w14:paraId="4F479AED">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4.在办理备案或变更备案时，变相收取费用的；</w:t>
            </w:r>
          </w:p>
          <w:p w14:paraId="5A54E66C">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5.在备案中玩忽职守、滥用职权的；</w:t>
            </w:r>
          </w:p>
          <w:p w14:paraId="3556F1F2">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6.在备案中发生腐败行为的；</w:t>
            </w:r>
          </w:p>
          <w:p w14:paraId="533EF907">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7.其他违反法律法规规章文件规定的行为。</w:t>
            </w:r>
          </w:p>
        </w:tc>
        <w:tc>
          <w:tcPr>
            <w:tcW w:w="567" w:type="dxa"/>
            <w:tcBorders>
              <w:tl2br w:val="nil"/>
              <w:tr2bl w:val="nil"/>
            </w:tcBorders>
            <w:shd w:val="clear" w:color="auto" w:fill="auto"/>
            <w:vAlign w:val="center"/>
          </w:tcPr>
          <w:p w14:paraId="7BAB49F7">
            <w:pPr>
              <w:spacing w:line="240" w:lineRule="exact"/>
              <w:jc w:val="center"/>
              <w:rPr>
                <w:rFonts w:ascii="仿宋_GB2312" w:hAnsi="仿宋_GB2312" w:eastAsia="仿宋_GB2312" w:cs="仿宋_GB2312"/>
                <w:color w:val="000000"/>
                <w:sz w:val="18"/>
                <w:szCs w:val="18"/>
              </w:rPr>
            </w:pPr>
          </w:p>
        </w:tc>
      </w:tr>
      <w:tr w14:paraId="1CD8E8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53B4E00D">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8</w:t>
            </w:r>
          </w:p>
        </w:tc>
        <w:tc>
          <w:tcPr>
            <w:tcW w:w="850" w:type="dxa"/>
            <w:tcBorders>
              <w:tl2br w:val="nil"/>
              <w:tr2bl w:val="nil"/>
            </w:tcBorders>
            <w:shd w:val="clear" w:color="auto" w:fill="auto"/>
            <w:vAlign w:val="center"/>
          </w:tcPr>
          <w:p w14:paraId="4407BB77">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行政确认</w:t>
            </w:r>
          </w:p>
        </w:tc>
        <w:tc>
          <w:tcPr>
            <w:tcW w:w="1134" w:type="dxa"/>
            <w:tcBorders>
              <w:tl2br w:val="nil"/>
              <w:tr2bl w:val="nil"/>
            </w:tcBorders>
            <w:shd w:val="clear" w:color="auto" w:fill="auto"/>
            <w:vAlign w:val="center"/>
          </w:tcPr>
          <w:p w14:paraId="745E888A">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房产信息查询及预查封登记</w:t>
            </w:r>
          </w:p>
        </w:tc>
        <w:tc>
          <w:tcPr>
            <w:tcW w:w="3118" w:type="dxa"/>
            <w:tcBorders>
              <w:tl2br w:val="nil"/>
              <w:tr2bl w:val="nil"/>
            </w:tcBorders>
            <w:shd w:val="clear" w:color="auto" w:fill="auto"/>
            <w:vAlign w:val="center"/>
          </w:tcPr>
          <w:p w14:paraId="2DCA08CA">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最高人民法院、国土资源部、建设部关于依法规范人民法院执行和国土资源、房地产管理部门协助执行若干问题的通知》（法发【2004】5号）十五、下列房屋虽未进行房屋所有权登记，人民法院也可以进行预查封： （一）作为被执行人的房地产开发企业，已办理了商品房预售许可证且尚未出售的房屋；（二）被执行人购买的已由房地产开发企业办理了房屋权属初始登记的房屋； （三）被执行人购买的办理了商品房预售合同登记备案手续或者商品房预告登记的房屋。十六、国土资源、房地产管理部门应当依据人民法院的协助执行通知书和所附的裁定书办理预查封登记。土地、房屋权属在预查封期间登记在被执行人名下的，预查封登记自动转为查封登记，预查封转为正式查封后，查封期限从预查封之日起开始计算。</w:t>
            </w:r>
          </w:p>
          <w:p w14:paraId="51AC1034">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2.最高人民法院、最高人民檢察院、公安部等 15 部门关于印发《公安机关办理刑事案件适用查封、冻结措施有关规定》的通知（公通字【2013】30 号）第十七条 对下列尚未进行权属登记的房屋，公安机关可以按照本规定进行查封：（一）涉案的房地产开发企业已经办理商品房预售许可证但尚未出售的房屋；（二）犯罪嫌疑人购买的已经由房地产开发企业办理房屋权属初始登记的房屋；（三）犯罪嫌疑人购买的已经办理商品房预售合同登记备案手续或者预购商品房预告登记的房屋</w:t>
            </w:r>
          </w:p>
        </w:tc>
        <w:tc>
          <w:tcPr>
            <w:tcW w:w="1315" w:type="dxa"/>
            <w:tcBorders>
              <w:tl2br w:val="nil"/>
              <w:tr2bl w:val="nil"/>
            </w:tcBorders>
            <w:shd w:val="clear" w:color="auto" w:fill="auto"/>
            <w:vAlign w:val="center"/>
          </w:tcPr>
          <w:p w14:paraId="1F1CDF11">
            <w:pPr>
              <w:jc w:val="center"/>
            </w:pPr>
            <w:r>
              <w:rPr>
                <w:rFonts w:hint="eastAsia" w:ascii="仿宋_GB2312" w:hAnsi="仿宋_GB2312" w:eastAsia="仿宋_GB2312" w:cs="仿宋_GB2312"/>
                <w:color w:val="000000"/>
                <w:kern w:val="0"/>
                <w:sz w:val="18"/>
                <w:szCs w:val="18"/>
              </w:rPr>
              <w:t>山海关区住建局</w:t>
            </w:r>
          </w:p>
        </w:tc>
        <w:tc>
          <w:tcPr>
            <w:tcW w:w="3785" w:type="dxa"/>
            <w:tcBorders>
              <w:tl2br w:val="nil"/>
              <w:tr2bl w:val="nil"/>
            </w:tcBorders>
            <w:shd w:val="clear" w:color="auto" w:fill="auto"/>
            <w:vAlign w:val="center"/>
          </w:tcPr>
          <w:p w14:paraId="00BC2B1C">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1.受理责任:公示应当提交的材料;一次性告知补正材料；</w:t>
            </w:r>
          </w:p>
          <w:p w14:paraId="4B21B265">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2.审核责任：审核有关材料;</w:t>
            </w:r>
          </w:p>
          <w:p w14:paraId="6578E925">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3.决定责任：符合要求的，给予办理；不符合要求的，通知当事人；</w:t>
            </w:r>
          </w:p>
          <w:p w14:paraId="1B3B283E">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4.其他违反法律法规规章文件规定应履行的责任。</w:t>
            </w:r>
          </w:p>
        </w:tc>
        <w:tc>
          <w:tcPr>
            <w:tcW w:w="3402" w:type="dxa"/>
            <w:tcBorders>
              <w:tl2br w:val="nil"/>
              <w:tr2bl w:val="nil"/>
            </w:tcBorders>
            <w:shd w:val="clear" w:color="auto" w:fill="auto"/>
            <w:vAlign w:val="center"/>
          </w:tcPr>
          <w:p w14:paraId="31BF19BE">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因不履行或不正确履行行政职责，有下列情形的，行政机关及相关工作人员应承担相应责任：</w:t>
            </w:r>
          </w:p>
          <w:p w14:paraId="0362A5D0">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1.依法应当受理而不受理的；</w:t>
            </w:r>
          </w:p>
          <w:p w14:paraId="2FF5A3D4">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2.未一次性告知补正材料的；</w:t>
            </w:r>
          </w:p>
          <w:p w14:paraId="781ED7CE">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3.依法应当办理而不办理的；</w:t>
            </w:r>
          </w:p>
          <w:p w14:paraId="15D5CD87">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4.其他违反法律法规规章文件规定行为的。</w:t>
            </w:r>
          </w:p>
        </w:tc>
        <w:tc>
          <w:tcPr>
            <w:tcW w:w="567" w:type="dxa"/>
            <w:tcBorders>
              <w:tl2br w:val="nil"/>
              <w:tr2bl w:val="nil"/>
            </w:tcBorders>
            <w:shd w:val="clear" w:color="auto" w:fill="auto"/>
            <w:vAlign w:val="center"/>
          </w:tcPr>
          <w:p w14:paraId="3FA4AED4">
            <w:pPr>
              <w:spacing w:line="240" w:lineRule="exact"/>
              <w:jc w:val="center"/>
              <w:rPr>
                <w:rFonts w:ascii="仿宋_GB2312" w:hAnsi="仿宋_GB2312" w:eastAsia="仿宋_GB2312" w:cs="仿宋_GB2312"/>
                <w:color w:val="000000"/>
                <w:sz w:val="18"/>
                <w:szCs w:val="18"/>
              </w:rPr>
            </w:pPr>
          </w:p>
        </w:tc>
      </w:tr>
      <w:tr w14:paraId="3FF09D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713341F5">
            <w:pPr>
              <w:widowControl/>
              <w:spacing w:line="240" w:lineRule="exact"/>
              <w:jc w:val="center"/>
              <w:textAlignment w:val="center"/>
              <w:rPr>
                <w:rFonts w:hint="eastAsia"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9</w:t>
            </w:r>
          </w:p>
        </w:tc>
        <w:tc>
          <w:tcPr>
            <w:tcW w:w="850" w:type="dxa"/>
            <w:tcBorders>
              <w:tl2br w:val="nil"/>
              <w:tr2bl w:val="nil"/>
            </w:tcBorders>
            <w:shd w:val="clear" w:color="auto" w:fill="auto"/>
            <w:vAlign w:val="center"/>
          </w:tcPr>
          <w:p w14:paraId="25816704">
            <w:pPr>
              <w:widowControl/>
              <w:spacing w:line="240" w:lineRule="exact"/>
              <w:jc w:val="center"/>
              <w:textAlignment w:val="center"/>
              <w:rPr>
                <w:rFonts w:hint="eastAsia"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行政确认</w:t>
            </w:r>
          </w:p>
        </w:tc>
        <w:tc>
          <w:tcPr>
            <w:tcW w:w="1134" w:type="dxa"/>
            <w:tcBorders>
              <w:tl2br w:val="nil"/>
              <w:tr2bl w:val="nil"/>
            </w:tcBorders>
            <w:shd w:val="clear" w:color="auto" w:fill="auto"/>
            <w:vAlign w:val="center"/>
          </w:tcPr>
          <w:p w14:paraId="23C2FDBD">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建设工程安全监督备案</w:t>
            </w:r>
          </w:p>
        </w:tc>
        <w:tc>
          <w:tcPr>
            <w:tcW w:w="3118" w:type="dxa"/>
            <w:tcBorders>
              <w:tl2br w:val="nil"/>
              <w:tr2bl w:val="nil"/>
            </w:tcBorders>
            <w:shd w:val="clear" w:color="auto" w:fill="auto"/>
            <w:vAlign w:val="center"/>
          </w:tcPr>
          <w:p w14:paraId="6E49B7DF">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lang w:val="en-US" w:eastAsia="zh-CN"/>
              </w:rPr>
              <w:t>&lt;</w:t>
            </w:r>
            <w:r>
              <w:rPr>
                <w:rFonts w:hint="eastAsia" w:ascii="仿宋_GB2312" w:hAnsi="仿宋_GB2312" w:eastAsia="仿宋_GB2312" w:cs="仿宋_GB2312"/>
                <w:color w:val="FF0000"/>
                <w:kern w:val="0"/>
                <w:sz w:val="18"/>
                <w:szCs w:val="18"/>
              </w:rPr>
              <w:t>建设工程安全生产管理条例 </w:t>
            </w:r>
            <w:r>
              <w:rPr>
                <w:rFonts w:hint="eastAsia" w:ascii="仿宋_GB2312" w:hAnsi="仿宋_GB2312" w:eastAsia="仿宋_GB2312" w:cs="仿宋_GB2312"/>
                <w:color w:val="FF0000"/>
                <w:kern w:val="0"/>
                <w:sz w:val="18"/>
                <w:szCs w:val="18"/>
                <w:lang w:val="en-US" w:eastAsia="zh-CN"/>
              </w:rPr>
              <w:t>&gt;</w:t>
            </w:r>
          </w:p>
          <w:p w14:paraId="03E0D40E">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第四十条 国务院建设行政主管部门对全国的建设工程安全生产实施监督管理。国务院铁路、交通、水利等有关部门按照国务院规定的职责分工，负责有关专业建设工程安全生产的监督管理。</w:t>
            </w:r>
          </w:p>
          <w:p w14:paraId="0FF21F1A">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县级以上地方人民政府建设行政主管部门对本行政区域内的建设工程安全生产实施监督管理。县级以上地方人民政府交通、水利等有关部门在各自的职责范围内，负责本行政区域内的专业建设工程安全生产的监督管理。</w:t>
            </w:r>
          </w:p>
          <w:p w14:paraId="4598135F">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第四十二条 建设行政主管部门在审核发放施工许可证时，应当对建设工程是否有安全施工措施进行审查，对没有安全施工措施的，不得颁发施工许可证。</w:t>
            </w:r>
          </w:p>
          <w:p w14:paraId="583F5F38">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建设行政主管部门或者其他有关部门对建设工程是否有安全施工措施进行审查时，不得收取费用。</w:t>
            </w:r>
          </w:p>
          <w:p w14:paraId="77E1124B">
            <w:pPr>
              <w:widowControl/>
              <w:spacing w:line="240" w:lineRule="exact"/>
              <w:jc w:val="left"/>
              <w:textAlignment w:val="center"/>
              <w:rPr>
                <w:rFonts w:hint="eastAsia" w:ascii="仿宋_GB2312" w:hAnsi="仿宋_GB2312" w:eastAsia="仿宋_GB2312" w:cs="仿宋_GB2312"/>
                <w:color w:val="FF0000"/>
                <w:kern w:val="0"/>
                <w:sz w:val="18"/>
                <w:szCs w:val="18"/>
              </w:rPr>
            </w:pPr>
          </w:p>
        </w:tc>
        <w:tc>
          <w:tcPr>
            <w:tcW w:w="1315" w:type="dxa"/>
            <w:tcBorders>
              <w:tl2br w:val="nil"/>
              <w:tr2bl w:val="nil"/>
            </w:tcBorders>
            <w:shd w:val="clear" w:color="auto" w:fill="auto"/>
            <w:vAlign w:val="center"/>
          </w:tcPr>
          <w:p w14:paraId="1F57CB59">
            <w:pPr>
              <w:jc w:val="center"/>
              <w:rPr>
                <w:rFonts w:hint="eastAsia" w:ascii="仿宋_GB2312" w:hAnsi="仿宋_GB2312" w:eastAsia="仿宋_GB2312" w:cs="仿宋_GB2312"/>
                <w:color w:val="FF0000"/>
                <w:kern w:val="0"/>
                <w:sz w:val="18"/>
                <w:szCs w:val="18"/>
                <w:lang w:eastAsia="zh-CN"/>
              </w:rPr>
            </w:pPr>
            <w:r>
              <w:rPr>
                <w:rFonts w:hint="eastAsia" w:ascii="仿宋_GB2312" w:hAnsi="仿宋_GB2312" w:eastAsia="仿宋_GB2312" w:cs="仿宋_GB2312"/>
                <w:color w:val="FF0000"/>
                <w:kern w:val="0"/>
                <w:sz w:val="18"/>
                <w:szCs w:val="18"/>
                <w:lang w:eastAsia="zh-CN"/>
              </w:rPr>
              <w:t>山海关区</w:t>
            </w:r>
            <w:bookmarkStart w:id="1" w:name="_GoBack"/>
            <w:bookmarkEnd w:id="1"/>
            <w:r>
              <w:rPr>
                <w:rFonts w:hint="eastAsia" w:ascii="仿宋_GB2312" w:hAnsi="仿宋_GB2312" w:eastAsia="仿宋_GB2312" w:cs="仿宋_GB2312"/>
                <w:color w:val="FF0000"/>
                <w:kern w:val="0"/>
                <w:sz w:val="18"/>
                <w:szCs w:val="18"/>
                <w:lang w:eastAsia="zh-CN"/>
              </w:rPr>
              <w:t>住建局</w:t>
            </w:r>
          </w:p>
        </w:tc>
        <w:tc>
          <w:tcPr>
            <w:tcW w:w="3785" w:type="dxa"/>
            <w:tcBorders>
              <w:tl2br w:val="nil"/>
              <w:tr2bl w:val="nil"/>
            </w:tcBorders>
            <w:shd w:val="clear" w:color="auto" w:fill="auto"/>
            <w:vAlign w:val="center"/>
          </w:tcPr>
          <w:p w14:paraId="56DA93F7">
            <w:pPr>
              <w:widowControl/>
              <w:spacing w:line="24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1.受理责任:公示应当提交的材料;一次性告知补正材料；</w:t>
            </w:r>
          </w:p>
          <w:p w14:paraId="7C62A4C6">
            <w:pPr>
              <w:widowControl/>
              <w:spacing w:line="24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2.审核责任：审核有关材料;</w:t>
            </w:r>
          </w:p>
          <w:p w14:paraId="2CE4348A">
            <w:pPr>
              <w:widowControl/>
              <w:spacing w:line="24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3.决定责任：符合要求的，给予办理；不符合要求的，通知当事人；</w:t>
            </w:r>
          </w:p>
          <w:p w14:paraId="4D033D4C">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4.其他违反法律法规规章文件规定应履行的责任。</w:t>
            </w:r>
          </w:p>
        </w:tc>
        <w:tc>
          <w:tcPr>
            <w:tcW w:w="3402" w:type="dxa"/>
            <w:tcBorders>
              <w:tl2br w:val="nil"/>
              <w:tr2bl w:val="nil"/>
            </w:tcBorders>
            <w:shd w:val="clear" w:color="auto" w:fill="auto"/>
            <w:vAlign w:val="center"/>
          </w:tcPr>
          <w:p w14:paraId="6C95B8DC">
            <w:pPr>
              <w:widowControl/>
              <w:spacing w:line="24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因不履行或不正确履行行政职责，有下列情形的，行政机关及相关工作人员应承担相应责任：</w:t>
            </w:r>
          </w:p>
          <w:p w14:paraId="7B4455F6">
            <w:pPr>
              <w:widowControl/>
              <w:spacing w:line="24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1.依法应当受理而不受理的；</w:t>
            </w:r>
          </w:p>
          <w:p w14:paraId="0E7551AF">
            <w:pPr>
              <w:widowControl/>
              <w:spacing w:line="24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2.未一次性告知补正材料的；</w:t>
            </w:r>
          </w:p>
          <w:p w14:paraId="1CDD9DCA">
            <w:pPr>
              <w:widowControl/>
              <w:spacing w:line="24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3.依法应当办理而不办理的；</w:t>
            </w:r>
          </w:p>
          <w:p w14:paraId="160D50F1">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4.其他违反法律法规规章文件规定行为的</w:t>
            </w:r>
          </w:p>
        </w:tc>
        <w:tc>
          <w:tcPr>
            <w:tcW w:w="567" w:type="dxa"/>
            <w:tcBorders>
              <w:tl2br w:val="nil"/>
              <w:tr2bl w:val="nil"/>
            </w:tcBorders>
            <w:shd w:val="clear" w:color="auto" w:fill="auto"/>
            <w:vAlign w:val="center"/>
          </w:tcPr>
          <w:p w14:paraId="4666C20C">
            <w:pPr>
              <w:spacing w:line="240" w:lineRule="exact"/>
              <w:jc w:val="center"/>
              <w:rPr>
                <w:rFonts w:ascii="仿宋_GB2312" w:hAnsi="仿宋_GB2312" w:eastAsia="仿宋_GB2312" w:cs="仿宋_GB2312"/>
                <w:color w:val="FF0000"/>
                <w:sz w:val="18"/>
                <w:szCs w:val="18"/>
              </w:rPr>
            </w:pPr>
          </w:p>
        </w:tc>
      </w:tr>
    </w:tbl>
    <w:p w14:paraId="3624DCAF">
      <w:pPr>
        <w:spacing w:line="240" w:lineRule="exact"/>
        <w:rPr>
          <w:rFonts w:ascii="仿宋_GB2312" w:hAnsi="仿宋_GB2312" w:eastAsia="仿宋_GB2312" w:cs="仿宋_GB2312"/>
          <w:sz w:val="18"/>
          <w:szCs w:val="18"/>
        </w:rPr>
      </w:pPr>
    </w:p>
    <w:sectPr>
      <w:pgSz w:w="16838" w:h="11906" w:orient="landscape"/>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YjU2ZGFiMzA1OTRkNDFlODU0YmY5Y2NjNmU1YWJmM2MifQ=="/>
  </w:docVars>
  <w:rsids>
    <w:rsidRoot w:val="4B695AC4"/>
    <w:rsid w:val="000E74C8"/>
    <w:rsid w:val="001926E9"/>
    <w:rsid w:val="002834EB"/>
    <w:rsid w:val="007A31BC"/>
    <w:rsid w:val="00943C3F"/>
    <w:rsid w:val="00A37A45"/>
    <w:rsid w:val="00BD06B0"/>
    <w:rsid w:val="00D11FA3"/>
    <w:rsid w:val="01F012F4"/>
    <w:rsid w:val="10DD5C36"/>
    <w:rsid w:val="11734730"/>
    <w:rsid w:val="15497286"/>
    <w:rsid w:val="2A4A66AD"/>
    <w:rsid w:val="36CB7628"/>
    <w:rsid w:val="420536C5"/>
    <w:rsid w:val="4B695AC4"/>
    <w:rsid w:val="6424082B"/>
    <w:rsid w:val="660E4721"/>
    <w:rsid w:val="6DB53009"/>
    <w:rsid w:val="6F5C14A3"/>
    <w:rsid w:val="7C9640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3"/>
    <w:basedOn w:val="1"/>
    <w:next w:val="1"/>
    <w:unhideWhenUsed/>
    <w:qFormat/>
    <w:uiPriority w:val="0"/>
    <w:pPr>
      <w:spacing w:beforeAutospacing="1" w:afterAutospacing="1"/>
      <w:jc w:val="left"/>
      <w:outlineLvl w:val="2"/>
    </w:pPr>
    <w:rPr>
      <w:rFonts w:hint="eastAsia" w:ascii="宋体" w:hAnsi="宋体" w:eastAsia="宋体" w:cs="Times New Roman"/>
      <w:b/>
      <w:bCs/>
      <w:kern w:val="0"/>
      <w:sz w:val="27"/>
      <w:szCs w:val="27"/>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4">
    <w:name w:val="Normal (Web)"/>
    <w:basedOn w:val="1"/>
    <w:uiPriority w:val="0"/>
    <w:pPr>
      <w:spacing w:beforeAutospacing="1" w:afterAutospacing="1"/>
      <w:jc w:val="left"/>
    </w:pPr>
    <w:rPr>
      <w:rFonts w:cs="Times New Roman"/>
      <w:kern w:val="0"/>
      <w:sz w:val="24"/>
    </w:rPr>
  </w:style>
  <w:style w:type="character" w:styleId="7">
    <w:name w:val="Strong"/>
    <w:basedOn w:val="6"/>
    <w:qFormat/>
    <w:uiPriority w:val="0"/>
    <w:rPr>
      <w:b/>
    </w:rPr>
  </w:style>
  <w:style w:type="character" w:styleId="8">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5339</Words>
  <Characters>5539</Characters>
  <Lines>41</Lines>
  <Paragraphs>11</Paragraphs>
  <TotalTime>5</TotalTime>
  <ScaleCrop>false</ScaleCrop>
  <LinksUpToDate>false</LinksUpToDate>
  <CharactersWithSpaces>5563</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2022-08-30T08:40:00Z</dcterms:created>
  <dc:creator>Administrator</dc:creator>
  <cp:lastModifiedBy>Administrator</cp:lastModifiedBy>
  <dcterms:modified xsi:type="dcterms:W3CDTF">2025-08-18T11:15:10Z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018B37FD67364E8BB1AF0B9E6A74423B</vt:lpwstr>
  </property>
  <property fmtid="{D5CDD505-2E9C-101B-9397-08002B2CF9AE}" pid="4" name="KSOTemplateDocerSaveRecord">
    <vt:lpwstr>eyJoZGlkIjoiNzNjNzAzYWI4NTY5ZGRiYmIyZTMxMWFkMjc1MWI4Y2IifQ==</vt:lpwstr>
  </property>
</Properties>
</file>