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22B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80" w:firstLineChars="200"/>
        <w:jc w:val="both"/>
        <w:rPr>
          <w:rFonts w:hint="eastAsia" w:ascii="宋体" w:hAnsi="宋体" w:eastAsia="宋体" w:cs="宋体"/>
          <w:color w:val="333333"/>
          <w:sz w:val="24"/>
          <w:szCs w:val="24"/>
        </w:rPr>
      </w:pP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为贯彻落实《中华人民共和国企业所得税法》及有关税收政策，进一步减轻企业办税负担，优化申报项目，税务总局发布《国家税务总局关于优化企业所得税预缴纳税申报有关事项的公告》（以下简称《公告》）。现解读如下：</w:t>
      </w:r>
    </w:p>
    <w:p w14:paraId="3075FF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一、有关背景</w:t>
      </w:r>
    </w:p>
    <w:p w14:paraId="0BC763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2024年，为落实《国务院关于印发〈推动大规模设备更新和消费品以旧换新行动方案〉的通知》（国发〔2024〕7号）要求，财政部、税务总局制发《关于节能节水、环境保护、安全生产专用设备数字化智能化改造企业所得税政策的公告》（2024年第9号），进一步加大节能节水、环境保护、安全生产专用设备抵免政策（以下简称“专用设备抵免政策”）优惠力度。为便利纳税人享受优惠政策，同时结合纳税人关于企业所得税预缴申报的意见、建议，税务总局制发《公告》，明确预缴环节享受专用设备抵免政策口径及出口业务等特定事项的申报要求，并对《中华人民共和国企业所得税月（季）度预缴纳税申报表（A类）》进行修订。</w:t>
      </w:r>
    </w:p>
    <w:p w14:paraId="170D4C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二、主要内容</w:t>
      </w:r>
    </w:p>
    <w:p w14:paraId="0492AC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（一）明确专用设备抵免政策执行口径</w:t>
      </w:r>
    </w:p>
    <w:p w14:paraId="5B5EC9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根据《国家税务总局关于发布修订后的〈企业所得税优惠政策事项办理办法〉的公告》（2018年第23号）规定，专用设备抵免政策应在汇缴环节享受。为落实好《财政部 税务总局关于节能节水、环境保护、安全生产专用设备数字化智能化改造企业所得税政策的公告》（2024年第9号），便利纳税人享受专用设备抵免政策，充分释放政策红利，《公告》明确，纳税人在预缴环节即可根据自身经营情况自主选择享受专用设备抵免政策。预缴环节选择不享受专用设备抵免政策的，也可在汇缴环节选择享受优惠。</w:t>
      </w:r>
    </w:p>
    <w:p w14:paraId="674D66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（二）明确出口企业申报要求</w:t>
      </w:r>
    </w:p>
    <w:p w14:paraId="560E66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为进一步规范出口企业预缴申报管理，提升预缴申报合规性，《公告》进一步明确了出口企业预缴申报要求。</w:t>
      </w:r>
    </w:p>
    <w:p w14:paraId="122148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是重申出口企业纳税申报义务。生产销售企业出口货物的，应就其出口货物的收入计算并申报缴纳企业所得税。通过自营方式出口的，应将其出口本企业生产或销售货物对应的收入纳入营业收入进行申报；通过委托方式出口的，应将其委托出口本企业货物对应的收入纳入营业收入进行申报。除纳入营业收入申报外，出口企业还需进一步申报上述两类出口收入的具体情况。</w:t>
      </w:r>
    </w:p>
    <w:p w14:paraId="7668FB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是从事代理出口业务的企业，应将其出口代理费收入纳入营业收入进行申报，并申报具体情况。同时，为规范代理出口业务企业所得税管理，以代理，包括通过市场采购贸易、外贸综合服务等方式代理出口货物的企业，在预缴申报时需要附报《代理出口企业受托出口情况汇总表》，提供委托其出口货物的委托方基础信息和出口金额情况。出口货物涉及多个环节的，应填报实际委托出口方基础信息和出口金额等情况。实际委托出口方是指出口货物的实际生产销售单位，原则上应为境内主体。若上述企业填报的是报关行、货代公司等非实际委托出口方或非境内主体，应作为自营方式，由该企业承担相应出口金额应申报缴纳的企业所得税。举例说明如下：</w:t>
      </w:r>
    </w:p>
    <w:p w14:paraId="584226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【案例1】A公司从事代理出口业务，接受B公司委托出口其生产的货物，涉及多张海关出口报关单，共计1000万元人民币，收取代理费10万元。预缴申报情况如下：</w:t>
      </w:r>
    </w:p>
    <w:p w14:paraId="5BB36A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A公司应申报营业收入10万元，其中出口代理费收入10万元，同时应在《代理出口企业受托出口情况汇总表》中逐笔填报B公司委托A公司出口的海关出口报关单号，并将B公司的名称、纳税人识别号及对应的出口金额分别填入实际委托出口方名称、实际委托出口方纳税人识别号（统一社会信用代码）、出口金额栏次，最终B公司对应的出口金额合计应为1000万元。</w:t>
      </w:r>
    </w:p>
    <w:p w14:paraId="5A0F91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B公司应申报营业收入1000万元，其中委托出口收入1000万元。</w:t>
      </w:r>
    </w:p>
    <w:p w14:paraId="701B88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案例2】C公司从事代理出口业务，接受D公司委托出口其代理出口的货物，涉及一张海关出口报关单，共计1000万元人民币，收取代理费10万元。C公司与D公司确认，该批货物实际为D公司接受E公司委托办理出口。D公司向E公司收取代理费12万元。E公司是境内实际生产销售单位（境内真实货主）。预缴申报情况如下：</w:t>
      </w:r>
    </w:p>
    <w:p w14:paraId="00398B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C公司与D公司、D公司与E公司均是委托代理关系，但只有C公司是实际报关出口的代理公司，E公司是该批出口货物的实际委托出口方。因此，C公司有义务填报实际委托出口方E公司的相关信息。C公司应申报营业收入10万元，其中出口代理费收入10万元，同时在《代理出口企业受托出口情况汇总表》中填报对应海关出口报关单号，并将E公司的名称、纳税人识别号及对应的出口金额1000万元分别填入实际委托出口方名称、实际委托出口方纳税人识别号（统一社会信用代码）、出口金额栏次。</w:t>
      </w:r>
    </w:p>
    <w:p w14:paraId="71C199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D公司与E公司是委托代理关系，但D公司不是实际报关出口代理公司，应申报营业收入12万元，但无需填报“出口代理费收入”栏次，无需报送《代理出口企业受托出口情况汇总表》。</w:t>
      </w:r>
    </w:p>
    <w:p w14:paraId="200D2A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E公司是出口货物的实际销售方，也是实际委托出口方，在预缴时应申报营业收入1000万元，其中委托出口收入1000万元。</w:t>
      </w:r>
    </w:p>
    <w:p w14:paraId="527E70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在本案例中，如果C公司没有在《代理出口企业受托出口情况汇总表》填报E公司相关出口情况，应作为自营方式，由C公司承担相应出口金额应申报缴纳的企业所得税。</w:t>
      </w:r>
    </w:p>
    <w:p w14:paraId="4CFD38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（三）优化完善《中华人民共和国企业所得税月（季）度预缴纳税申报表（A类）》</w:t>
      </w:r>
    </w:p>
    <w:p w14:paraId="3E9F70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结合上述政策执行口径优化情况及纳税人反映的意见、建议，对《中华人民共和国企业所得税月（季）度预缴纳税申报表（A类）》进行修订。</w:t>
      </w:r>
    </w:p>
    <w:p w14:paraId="5A3B2E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1.《中华人民共和国企业所得税月（季）度预缴纳税申报表（A类）》（A200000）</w:t>
      </w:r>
    </w:p>
    <w:p w14:paraId="53D345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是增加附报事项项目。在“优惠及附报事项有关信息”部分增加“职工薪酬”和“出口方式”项目，发生相关事项的纳税人应准确填报有关情况。除上述事项外，由纳税人根据《企业所得税申报事项目录》补充填报。</w:t>
      </w:r>
    </w:p>
    <w:p w14:paraId="40006F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是调整“预缴税款计算部分”相关项目。参照年度纳税申报表优化思路，根据最新财务报表样式增加“销售费用”“其他收益”等项目。同时，在“营业收入”项目下增加“自营出口收入”“委托出口收入”“出口代理费收入”等项目，由涉及出口业务的企业填报。在“投资收益”项目下增加明细行次，由纳税人根据《企业所得税申报事项目录》在明细行次填报股权处置收益等具体事项和金额。纳税人进行股权处置的，均应填报具体事项和金额。</w:t>
      </w:r>
    </w:p>
    <w:p w14:paraId="7764ED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三是增加“抵免所得税额”项目，供适用专用设备抵免政策的企业在预缴申报时自主选择填报。</w:t>
      </w:r>
    </w:p>
    <w:p w14:paraId="2AE1F1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四是增加“销售未完工产品的收入”项目，由房地产开发企业填报，进一步明确企业销售未完工开发产品取得预售收入申报要求。</w:t>
      </w:r>
    </w:p>
    <w:p w14:paraId="3A8355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2.《企业所得税汇总纳税总分支机构所得税分配表》（A202000）</w:t>
      </w:r>
    </w:p>
    <w:p w14:paraId="515F78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是调整总分机构税款分摊计算方法。将汇缴环节总分机构分摊税款计算方法推广至预缴环节，即企业先对截止到本月（季）度应纳所得税额进行分摊，再由总、分机构分别抵减其已分摊预缴税款，并计算本月（季）度应补（退）所得税。举例说明如下：</w:t>
      </w:r>
    </w:p>
    <w:p w14:paraId="767F92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案例】A公司是2024年在北京市注册成立的企业，不属于小型微利企业。A公司分别在山东省、陕西省、天津市设立了B、C、D分支机构。2025年9月，天津市D分支机构注销。A公司与各分支机构均按规定及时并准确完成汇总纳税信息备案。2025年第1季度预缴时，B、C、D分支机构的分配比例分别为10%、40%、50%。第2季度预缴申报时，A公司发现第1季度分配比例计算有误，C、D分支机构的分配比例应为30%、60%。</w:t>
      </w:r>
    </w:p>
    <w:p w14:paraId="7B467B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A公司2025年第一季度实际利润额400万元，第二季度累计实际利润额700万元，第三季度累计实际利润额1300万元，第四季度累计实际利润额1200万元，不享受企业所得税相关优惠政策。A公司各季度税款和分摊情况如下：</w:t>
      </w:r>
    </w:p>
    <w:p w14:paraId="2D7979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1.A公司各季度税款计算</w:t>
      </w:r>
    </w:p>
    <w:tbl>
      <w:tblPr>
        <w:tblW w:w="0" w:type="auto"/>
        <w:jc w:val="center"/>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656"/>
        <w:gridCol w:w="1562"/>
        <w:gridCol w:w="1737"/>
        <w:gridCol w:w="1737"/>
        <w:gridCol w:w="1620"/>
      </w:tblGrid>
      <w:tr w14:paraId="65E51DF5">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5FEE5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税款计算</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2A051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第1季度</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E7D9F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第2季度</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3CD38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第3季度</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3F6990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第4季度</w:t>
            </w:r>
          </w:p>
        </w:tc>
      </w:tr>
      <w:tr w14:paraId="1548AE11">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FC440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实际利润额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A7729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400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893A8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06E77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1300</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6C2B96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1200</w:t>
            </w:r>
          </w:p>
        </w:tc>
      </w:tr>
      <w:tr w14:paraId="21778394">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6EB2C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应纳所得税额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9BA7C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2B367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175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2A68A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325</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56F8B1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300</w:t>
            </w:r>
          </w:p>
        </w:tc>
      </w:tr>
      <w:tr w14:paraId="1C6DE7F1">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EB0FF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本年实际已缴纳所得税额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8C337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18D6F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5839C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175</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0CCC95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325</w:t>
            </w:r>
          </w:p>
        </w:tc>
      </w:tr>
      <w:tr w14:paraId="10E17CD2">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20685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本期应补（退）所得税额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D4282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B396F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86BEB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150</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291629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0（－25）</w:t>
            </w:r>
          </w:p>
        </w:tc>
      </w:tr>
      <w:tr w14:paraId="0D16F971">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7185F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总机构累计分摊</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9D5A0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25（100×25%）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6E3BC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43.75（175×25%）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29EED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81.25（325×25%）</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335BD3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75（300×25%）</w:t>
            </w:r>
          </w:p>
        </w:tc>
      </w:tr>
      <w:tr w14:paraId="5DE846CC">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F4501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总机构累计财政集中分配</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E06E3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25（100×25%）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16D5F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43.75（175×25%）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96D29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81.25（325×25%）</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537B4A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75（300×25%）</w:t>
            </w:r>
          </w:p>
        </w:tc>
      </w:tr>
      <w:tr w14:paraId="65C41DFF">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9E2B0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分支机构累计分摊</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B2568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50（100×50%）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A7B32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87.5（175×50%）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CD525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162.5（325×50%）</w:t>
            </w:r>
          </w:p>
        </w:tc>
        <w:tc>
          <w:tcPr>
            <w:tcW w:w="1620" w:type="dxa"/>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1AE52D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150（300×50%）</w:t>
            </w:r>
          </w:p>
        </w:tc>
      </w:tr>
    </w:tbl>
    <w:p w14:paraId="0AFF07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2.分支机构税款分摊计算</w:t>
      </w:r>
    </w:p>
    <w:p w14:paraId="2E619C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第一季度预缴申报时，B、C、D分支机构均参与分配，按照10%、40%、50%分配比例计算，具体如下：</w:t>
      </w:r>
    </w:p>
    <w:tbl>
      <w:tblPr>
        <w:tblW w:w="0" w:type="auto"/>
        <w:jc w:val="center"/>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678"/>
        <w:gridCol w:w="659"/>
        <w:gridCol w:w="2132"/>
        <w:gridCol w:w="659"/>
        <w:gridCol w:w="1628"/>
        <w:gridCol w:w="937"/>
        <w:gridCol w:w="1619"/>
      </w:tblGrid>
      <w:tr w14:paraId="018E57E5">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restart"/>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379FD5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c>
          <w:tcPr>
            <w:tcW w:w="0" w:type="auto"/>
            <w:gridSpan w:val="2"/>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34E20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原方法</w:t>
            </w:r>
          </w:p>
        </w:tc>
        <w:tc>
          <w:tcPr>
            <w:tcW w:w="1620" w:type="dxa"/>
            <w:gridSpan w:val="4"/>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2B7AAA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新方法</w:t>
            </w:r>
          </w:p>
        </w:tc>
      </w:tr>
      <w:tr w14:paraId="65C96BBB">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continue"/>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489B31C9">
            <w:pPr>
              <w:jc w:val="center"/>
              <w:rPr>
                <w:rFonts w:hint="eastAsia" w:ascii="宋体" w:hAnsi="宋体" w:eastAsia="宋体" w:cs="宋体"/>
                <w:color w:val="333333"/>
                <w:sz w:val="24"/>
                <w:szCs w:val="24"/>
              </w:rPr>
            </w:pP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1544C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A6F62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金额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1C406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59C28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实际应分摊所得税额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1C366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累计已分摊所得税额</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04C40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实际分摊应补（退）所得税额</w:t>
            </w:r>
          </w:p>
        </w:tc>
      </w:tr>
      <w:tr w14:paraId="70E935B7">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0D7DE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B</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2F00B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098D2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5（100×50%×10%）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0C41C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D63D5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5（50×10%）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F1516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FC7DE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w:t>
            </w:r>
          </w:p>
        </w:tc>
      </w:tr>
      <w:tr w14:paraId="2F695B1E">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4D952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C</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09FD3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40%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44713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20（100×50%×40%）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2D7A9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40%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F59B7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20（50×40%）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E6790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5369D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w:t>
            </w:r>
          </w:p>
        </w:tc>
      </w:tr>
      <w:tr w14:paraId="788A4130">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C6012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D</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848E6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2DF3F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25（100×50%×50%）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B7B61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E3978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25（50×50%）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C5DD6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813CE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25</w:t>
            </w:r>
          </w:p>
        </w:tc>
      </w:tr>
      <w:tr w14:paraId="7A77E92B">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069A5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分支机构合计</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EB99D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7D6C9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7CFDF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83ED4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7AD92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C3C5B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50</w:t>
            </w:r>
          </w:p>
        </w:tc>
      </w:tr>
    </w:tbl>
    <w:p w14:paraId="7401F4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第二季度预缴申报时，发现分配比例计算有误，应按照10%、30%、60%的分配比例计算，具体如下：</w:t>
      </w:r>
    </w:p>
    <w:tbl>
      <w:tblPr>
        <w:tblW w:w="0" w:type="auto"/>
        <w:jc w:val="center"/>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641"/>
        <w:gridCol w:w="644"/>
        <w:gridCol w:w="2123"/>
        <w:gridCol w:w="644"/>
        <w:gridCol w:w="1763"/>
        <w:gridCol w:w="877"/>
        <w:gridCol w:w="1620"/>
      </w:tblGrid>
      <w:tr w14:paraId="6A469314">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restart"/>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63328E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c>
          <w:tcPr>
            <w:tcW w:w="0" w:type="auto"/>
            <w:gridSpan w:val="2"/>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0E6BB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原方法</w:t>
            </w:r>
          </w:p>
        </w:tc>
        <w:tc>
          <w:tcPr>
            <w:tcW w:w="1620" w:type="dxa"/>
            <w:gridSpan w:val="4"/>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5329DA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新方法</w:t>
            </w:r>
          </w:p>
        </w:tc>
      </w:tr>
      <w:tr w14:paraId="3BE699CE">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continue"/>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40BB9BA5">
            <w:pPr>
              <w:jc w:val="center"/>
              <w:rPr>
                <w:rFonts w:hint="eastAsia" w:ascii="宋体" w:hAnsi="宋体" w:eastAsia="宋体" w:cs="宋体"/>
                <w:color w:val="333333"/>
                <w:sz w:val="24"/>
                <w:szCs w:val="24"/>
              </w:rPr>
            </w:pP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7217A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4A4BE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金额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B4CB7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E754F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实际应分摊所得税额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1A87B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累计已分摊所得税额</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185A9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实际分摊应补（退）所得税额</w:t>
            </w:r>
          </w:p>
        </w:tc>
      </w:tr>
      <w:tr w14:paraId="450692C7">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31180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B</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DFA26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221E5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3.75（75×50%×10%）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0A3FF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30082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8.75（87.5×10%）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69E2E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01307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3.75（8.75－5）</w:t>
            </w:r>
          </w:p>
        </w:tc>
      </w:tr>
      <w:tr w14:paraId="540CED83">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92DCB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C</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B5B54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105BC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11.25（75×50%×30%）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B70FE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EF080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26.25（87.5×30%）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55D56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48AF0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6.25（26.25－20）</w:t>
            </w:r>
          </w:p>
        </w:tc>
      </w:tr>
      <w:tr w14:paraId="2C520CCE">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3CC62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D</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FAF24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60%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2EC37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22.5（75×50%×60%）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704F1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60%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E1DE5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52.5（87.5×60%）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B888F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65E2A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27.5（52.5－25）</w:t>
            </w:r>
          </w:p>
        </w:tc>
      </w:tr>
      <w:tr w14:paraId="2483AA98">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761B2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分支机构合计</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01966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F8F94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37.5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60A38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DCEAD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87.5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E9379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50</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6F133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37.5</w:t>
            </w:r>
          </w:p>
        </w:tc>
      </w:tr>
    </w:tbl>
    <w:p w14:paraId="48811D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第三季度预缴申报时，由于D分支机构已经注销，其不再参与分配，已经缴纳的税款也不再重新分配，B、C分支机构按照20%、80%的分配比例计算，具体如下：</w:t>
      </w:r>
    </w:p>
    <w:tbl>
      <w:tblPr>
        <w:tblW w:w="0" w:type="auto"/>
        <w:jc w:val="center"/>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76"/>
        <w:gridCol w:w="618"/>
        <w:gridCol w:w="2112"/>
        <w:gridCol w:w="618"/>
        <w:gridCol w:w="1734"/>
        <w:gridCol w:w="1035"/>
        <w:gridCol w:w="1619"/>
      </w:tblGrid>
      <w:tr w14:paraId="11E74579">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restart"/>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60D2E0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c>
          <w:tcPr>
            <w:tcW w:w="0" w:type="auto"/>
            <w:gridSpan w:val="2"/>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6ED56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原方法</w:t>
            </w:r>
          </w:p>
        </w:tc>
        <w:tc>
          <w:tcPr>
            <w:tcW w:w="1620" w:type="dxa"/>
            <w:gridSpan w:val="4"/>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259371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新方法</w:t>
            </w:r>
          </w:p>
        </w:tc>
      </w:tr>
      <w:tr w14:paraId="7DC18650">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continue"/>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59DE62AF">
            <w:pPr>
              <w:jc w:val="center"/>
              <w:rPr>
                <w:rFonts w:hint="eastAsia" w:ascii="宋体" w:hAnsi="宋体" w:eastAsia="宋体" w:cs="宋体"/>
                <w:color w:val="333333"/>
                <w:sz w:val="24"/>
                <w:szCs w:val="24"/>
              </w:rPr>
            </w:pP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16E03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2A4D3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金额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3CC92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B940E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实际应分摊所得税额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072E5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累计已分摊所得税额</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63A25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实际分摊应补（退）所得税额</w:t>
            </w:r>
          </w:p>
        </w:tc>
      </w:tr>
      <w:tr w14:paraId="6C2D1CD8">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E2863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B</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B56D3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050B1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15（150×50%×20%）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7ECE5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95B48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22[（162.5－52.5）×20%）]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4FF2F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8.75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E4EE4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13.25（22－8.75）</w:t>
            </w:r>
          </w:p>
        </w:tc>
      </w:tr>
      <w:tr w14:paraId="383ACAC3">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A641F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C</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FA6A6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97336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60（150×50%×80%）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4EDCC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5467A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88[（162.5－52.5）×80%）]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6B0C4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26.25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9FADC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61.75（88－26.25）</w:t>
            </w:r>
          </w:p>
        </w:tc>
      </w:tr>
      <w:tr w14:paraId="18F2BA88">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6DAF3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D</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63413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71CBC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FE709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D2BFE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52.5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AA9B2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52.5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C4DA1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24D4DD5C">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0A845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分支机构合计</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C4661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E96A3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438EE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83746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162.5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E2B3C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87.5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23CB1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75</w:t>
            </w:r>
          </w:p>
        </w:tc>
      </w:tr>
    </w:tbl>
    <w:p w14:paraId="1A5113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第四季度预缴申报时，根据上述计算规则类推，具体如下：</w:t>
      </w:r>
    </w:p>
    <w:tbl>
      <w:tblPr>
        <w:tblW w:w="0" w:type="auto"/>
        <w:jc w:val="center"/>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626"/>
        <w:gridCol w:w="638"/>
        <w:gridCol w:w="1876"/>
        <w:gridCol w:w="638"/>
        <w:gridCol w:w="1814"/>
        <w:gridCol w:w="1100"/>
        <w:gridCol w:w="1620"/>
      </w:tblGrid>
      <w:tr w14:paraId="616698D0">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restart"/>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4F7D2E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 </w:t>
            </w:r>
          </w:p>
        </w:tc>
        <w:tc>
          <w:tcPr>
            <w:tcW w:w="0" w:type="auto"/>
            <w:gridSpan w:val="2"/>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F6345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原方法</w:t>
            </w:r>
          </w:p>
        </w:tc>
        <w:tc>
          <w:tcPr>
            <w:tcW w:w="1620" w:type="dxa"/>
            <w:gridSpan w:val="4"/>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2B0889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新方法</w:t>
            </w:r>
          </w:p>
        </w:tc>
      </w:tr>
      <w:tr w14:paraId="4F68AC19">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continue"/>
            <w:tcBorders>
              <w:top w:val="single" w:color="333333" w:sz="2" w:space="0"/>
              <w:left w:val="single" w:color="333333" w:sz="2" w:space="0"/>
              <w:bottom w:val="single" w:color="333333" w:sz="2" w:space="0"/>
              <w:right w:val="single" w:color="333333" w:sz="2" w:space="0"/>
            </w:tcBorders>
            <w:shd w:val="clear"/>
            <w:noWrap/>
            <w:tcMar>
              <w:top w:w="0" w:type="dxa"/>
              <w:left w:w="0" w:type="dxa"/>
              <w:bottom w:w="0" w:type="dxa"/>
              <w:right w:w="0" w:type="dxa"/>
            </w:tcMar>
            <w:vAlign w:val="center"/>
          </w:tcPr>
          <w:p w14:paraId="44F4E55B">
            <w:pPr>
              <w:jc w:val="center"/>
              <w:rPr>
                <w:rFonts w:hint="eastAsia" w:ascii="宋体" w:hAnsi="宋体" w:eastAsia="宋体" w:cs="宋体"/>
                <w:color w:val="333333"/>
                <w:sz w:val="24"/>
                <w:szCs w:val="24"/>
              </w:rPr>
            </w:pP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803F5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0F168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金额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ED59A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分配比例</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1BFF3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实际应分摊所得税额</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F9003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累计已分摊所得税额</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12FD6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实际分摊应补（退）所得税额</w:t>
            </w:r>
          </w:p>
        </w:tc>
      </w:tr>
      <w:tr w14:paraId="3F02AE91">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2A1E2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B</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E7FA8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E4058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0（－25×50%×20%）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30288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F17EE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19.5[（150－52.5）×20%）]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C2BB9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22</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28335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0（19.5－22）</w:t>
            </w:r>
          </w:p>
        </w:tc>
      </w:tr>
      <w:tr w14:paraId="4D5FF1DA">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ACC84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C</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12402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ED100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0（－25×50%×80%）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3C24A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ECF81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78[（150－52.5）×80%）]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33292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88</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D477C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0（78－88）</w:t>
            </w:r>
          </w:p>
        </w:tc>
      </w:tr>
      <w:tr w14:paraId="7FC64687">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6C9218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D</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422F6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6621A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545A7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2015BD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52.5</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5A3A00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52.5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E9A9A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r w14:paraId="108445DD">
        <w:tblPrEx>
          <w:tblBorders>
            <w:top w:val="single" w:color="333333" w:sz="2" w:space="0"/>
            <w:left w:val="single" w:color="333333" w:sz="2" w:space="0"/>
            <w:bottom w:val="single" w:color="333333" w:sz="2" w:space="0"/>
            <w:right w:val="single" w:color="333333" w:sz="2"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2BA0F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分支机构合计</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379423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7F9BF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175340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100%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4D76BD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150</w:t>
            </w:r>
          </w:p>
        </w:tc>
        <w:tc>
          <w:tcPr>
            <w:tcW w:w="0" w:type="auto"/>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0BFAFF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162.5</w:t>
            </w:r>
          </w:p>
        </w:tc>
        <w:tc>
          <w:tcPr>
            <w:tcW w:w="1620" w:type="dxa"/>
            <w:tcBorders>
              <w:top w:val="single" w:color="333333" w:sz="2" w:space="0"/>
              <w:left w:val="single" w:color="333333" w:sz="2" w:space="0"/>
              <w:bottom w:val="single" w:color="333333" w:sz="2" w:space="0"/>
              <w:right w:val="single" w:color="333333" w:sz="2" w:space="0"/>
            </w:tcBorders>
            <w:shd w:val="clear"/>
            <w:tcMar>
              <w:top w:w="0" w:type="dxa"/>
              <w:left w:w="0" w:type="dxa"/>
              <w:bottom w:w="0" w:type="dxa"/>
              <w:right w:w="0" w:type="dxa"/>
            </w:tcMar>
            <w:vAlign w:val="center"/>
          </w:tcPr>
          <w:p w14:paraId="7A7500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rPr>
                <w:rFonts w:hint="eastAsia" w:ascii="宋体" w:hAnsi="宋体" w:eastAsia="宋体" w:cs="宋体"/>
                <w:color w:val="333333"/>
                <w:sz w:val="24"/>
                <w:szCs w:val="24"/>
              </w:rPr>
            </w:pPr>
            <w:r>
              <w:rPr>
                <w:rFonts w:hint="eastAsia" w:ascii="宋体" w:hAnsi="宋体" w:eastAsia="宋体" w:cs="宋体"/>
                <w:color w:val="333333"/>
                <w:sz w:val="24"/>
                <w:szCs w:val="24"/>
                <w:bdr w:val="none" w:color="auto" w:sz="0" w:space="0"/>
              </w:rPr>
              <w:t>0</w:t>
            </w:r>
          </w:p>
        </w:tc>
      </w:tr>
    </w:tbl>
    <w:p w14:paraId="143567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需要说明的是，汇总纳税企业如果不存在注销分支机构、分摊税款计算不准确等情形，无论按原计算方法，还是按新计算方法，结果都是一样的。但是，若汇总纳税企业前期预缴环节未准确计算分摊税款或当季发生分支机构注销情形，新计算方法将通过全量分摊方式，对全年分摊税款重新计算。案例中，由于第二季度发现第一季度C、D分支机构分配比例计算错误，在第二季度申报时按照新方法计算的C分支机构应补税额比原方法少5万元；D分支机构应补税额比原方法多5万元；B分支机构分配比例没有错误，两种方法计算结果一致。D分支机构注销后，需重新计算分配比例，在第三季度申报时按照新方法计算的B分支机构应补税额比原方法少1.75万元，C分支机构应补税额比原方法多1.75万元。</w:t>
      </w:r>
    </w:p>
    <w:p w14:paraId="21103A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是修改表单名称和数据项。基于计算方法调整的需要，在行次上增加“总机构分摊”“总机构财政集中分配”等项目，在列次上增加“实际应分摊所得税额”“累计已分摊所得税额”“分摊应补（退）所得税额”等项目，并据此将表单名称修改为《企业所得税汇总纳税总分支机构所得税分配表》。</w:t>
      </w:r>
    </w:p>
    <w:p w14:paraId="2036F9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5"/>
          <w:rFonts w:hint="eastAsia" w:ascii="宋体" w:hAnsi="宋体" w:eastAsia="宋体" w:cs="宋体"/>
          <w:i w:val="0"/>
          <w:iCs w:val="0"/>
          <w:caps w:val="0"/>
          <w:color w:val="333333"/>
          <w:spacing w:val="0"/>
          <w:sz w:val="24"/>
          <w:szCs w:val="24"/>
          <w:bdr w:val="none" w:color="auto" w:sz="0" w:space="0"/>
          <w:shd w:val="clear" w:fill="FFFFFF"/>
        </w:rPr>
        <w:t>三、实施时间</w:t>
      </w:r>
    </w:p>
    <w:p w14:paraId="65CFCA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both"/>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《公告》自2025年10月1日起施行。实行按月预缴的查账征收居民企业，从2025年9月份申报所属期开始使用新版报表；实行按季预缴的查账征收居民企业，从2025年第三季度申报所属期开始使用新版报表。</w:t>
      </w:r>
    </w:p>
    <w:p w14:paraId="0DFFAA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ind w:left="0" w:right="0" w:firstLine="0"/>
        <w:jc w:val="right"/>
        <w:rPr>
          <w:rFonts w:ascii="微软雅黑" w:hAnsi="微软雅黑" w:eastAsia="微软雅黑" w:cs="微软雅黑"/>
          <w:i w:val="0"/>
          <w:iCs w:val="0"/>
          <w:caps w:val="0"/>
          <w:color w:val="9A9791"/>
          <w:spacing w:val="0"/>
          <w:sz w:val="19"/>
          <w:szCs w:val="19"/>
        </w:rPr>
      </w:pPr>
      <w:r>
        <w:rPr>
          <w:rFonts w:hint="eastAsia" w:ascii="微软雅黑" w:hAnsi="微软雅黑" w:eastAsia="微软雅黑" w:cs="微软雅黑"/>
          <w:i w:val="0"/>
          <w:iCs w:val="0"/>
          <w:caps w:val="0"/>
          <w:color w:val="9A9791"/>
          <w:spacing w:val="0"/>
          <w:kern w:val="0"/>
          <w:sz w:val="19"/>
          <w:szCs w:val="19"/>
          <w:bdr w:val="none" w:color="auto" w:sz="0" w:space="0"/>
          <w:shd w:val="clear" w:fill="FFFFFF"/>
          <w:lang w:val="en-US" w:eastAsia="zh-CN" w:bidi="ar"/>
        </w:rPr>
        <w:t>责任编辑：王威</w:t>
      </w:r>
    </w:p>
    <w:p w14:paraId="68E22B1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D63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2025-07-21T02:27:23Z</dcterms:created>
  <dc:creator>财</dc:creator>
  <cp:lastModifiedBy>Bale</cp:lastModifiedBy>
  <dcterms:modified xsi:type="dcterms:W3CDTF">2025-07-21T02:28:43Z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eyJoZGlkIjoiMzU1M2NiOWU2NTFmYmE0MzRhMTA4ZTY2NDFlZjI3ZGYiLCJ1c2VySWQiOiI2ODMzMjUwNDAifQ==</vt:lpwstr>
  </property>
  <property fmtid="{D5CDD505-2E9C-101B-9397-08002B2CF9AE}" pid="4" name="ICV">
    <vt:lpwstr>D53695E02F964EF2AFCA016F3C2CF3C3_12</vt:lpwstr>
  </property>
</Properties>
</file>