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1471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544"/>
        <w:gridCol w:w="850"/>
        <w:gridCol w:w="1134"/>
        <w:gridCol w:w="3118"/>
        <w:gridCol w:w="1315"/>
        <w:gridCol w:w="3785"/>
        <w:gridCol w:w="3402"/>
        <w:gridCol w:w="567"/>
      </w:tblGrid>
      <w:tr w14:paraId="0BB345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67" w:hRule="atLeast"/>
          <w:tblHeader/>
        </w:trPr>
        <w:tc>
          <w:tcPr>
            <w:tcW w:w="544" w:type="dxa"/>
            <w:tcBorders>
              <w:tl2br w:val="nil"/>
              <w:tr2bl w:val="nil"/>
            </w:tcBorders>
            <w:shd w:val="clear" w:color="auto" w:fill="auto"/>
            <w:vAlign w:val="center"/>
          </w:tcPr>
          <w:p w14:paraId="34EB393B">
            <w:pPr>
              <w:widowControl/>
              <w:spacing w:line="240" w:lineRule="exact"/>
              <w:jc w:val="center"/>
              <w:textAlignment w:val="center"/>
              <w:rPr>
                <w:rFonts w:ascii="黑体" w:hAnsi="黑体" w:eastAsia="黑体" w:cs="黑体"/>
                <w:color w:val="000000"/>
                <w:sz w:val="24"/>
              </w:rPr>
            </w:pPr>
            <w:r>
              <w:rPr>
                <w:rFonts w:hint="eastAsia" w:ascii="黑体" w:hAnsi="黑体" w:eastAsia="黑体" w:cs="黑体"/>
                <w:color w:val="000000"/>
                <w:kern w:val="0"/>
                <w:sz w:val="24"/>
              </w:rPr>
              <w:t>序号</w:t>
            </w:r>
          </w:p>
        </w:tc>
        <w:tc>
          <w:tcPr>
            <w:tcW w:w="850" w:type="dxa"/>
            <w:tcBorders>
              <w:tl2br w:val="nil"/>
              <w:tr2bl w:val="nil"/>
            </w:tcBorders>
            <w:shd w:val="clear" w:color="auto" w:fill="auto"/>
            <w:vAlign w:val="center"/>
          </w:tcPr>
          <w:p w14:paraId="06912E74">
            <w:pPr>
              <w:widowControl/>
              <w:spacing w:line="240" w:lineRule="exact"/>
              <w:jc w:val="center"/>
              <w:textAlignment w:val="center"/>
              <w:rPr>
                <w:rFonts w:ascii="黑体" w:hAnsi="黑体" w:eastAsia="黑体" w:cs="黑体"/>
                <w:color w:val="000000"/>
                <w:kern w:val="0"/>
                <w:sz w:val="24"/>
              </w:rPr>
            </w:pPr>
            <w:r>
              <w:rPr>
                <w:rFonts w:hint="eastAsia" w:ascii="黑体" w:hAnsi="黑体" w:eastAsia="黑体" w:cs="黑体"/>
                <w:color w:val="000000"/>
                <w:kern w:val="0"/>
                <w:sz w:val="24"/>
              </w:rPr>
              <w:t>权力</w:t>
            </w:r>
          </w:p>
          <w:p w14:paraId="23CC6A5A">
            <w:pPr>
              <w:widowControl/>
              <w:spacing w:line="240" w:lineRule="exact"/>
              <w:jc w:val="center"/>
              <w:textAlignment w:val="center"/>
              <w:rPr>
                <w:rFonts w:ascii="黑体" w:hAnsi="黑体" w:eastAsia="黑体" w:cs="黑体"/>
                <w:color w:val="000000"/>
                <w:sz w:val="24"/>
              </w:rPr>
            </w:pPr>
            <w:r>
              <w:rPr>
                <w:rFonts w:hint="eastAsia" w:ascii="黑体" w:hAnsi="黑体" w:eastAsia="黑体" w:cs="黑体"/>
                <w:color w:val="000000"/>
                <w:kern w:val="0"/>
                <w:sz w:val="24"/>
              </w:rPr>
              <w:t>类型</w:t>
            </w:r>
          </w:p>
        </w:tc>
        <w:tc>
          <w:tcPr>
            <w:tcW w:w="1134" w:type="dxa"/>
            <w:tcBorders>
              <w:tl2br w:val="nil"/>
              <w:tr2bl w:val="nil"/>
            </w:tcBorders>
            <w:shd w:val="clear" w:color="auto" w:fill="auto"/>
            <w:vAlign w:val="center"/>
          </w:tcPr>
          <w:p w14:paraId="5EDBF42C">
            <w:pPr>
              <w:widowControl/>
              <w:spacing w:line="240" w:lineRule="exact"/>
              <w:jc w:val="center"/>
              <w:textAlignment w:val="center"/>
              <w:rPr>
                <w:rFonts w:ascii="黑体" w:hAnsi="黑体" w:eastAsia="黑体" w:cs="黑体"/>
                <w:color w:val="000000"/>
                <w:kern w:val="0"/>
                <w:sz w:val="24"/>
              </w:rPr>
            </w:pPr>
            <w:r>
              <w:rPr>
                <w:rFonts w:hint="eastAsia" w:ascii="黑体" w:hAnsi="黑体" w:eastAsia="黑体" w:cs="黑体"/>
                <w:color w:val="000000"/>
                <w:kern w:val="0"/>
                <w:sz w:val="24"/>
              </w:rPr>
              <w:t>权力</w:t>
            </w:r>
          </w:p>
          <w:p w14:paraId="4E12A742">
            <w:pPr>
              <w:widowControl/>
              <w:spacing w:line="240" w:lineRule="exact"/>
              <w:jc w:val="center"/>
              <w:textAlignment w:val="center"/>
              <w:rPr>
                <w:rFonts w:ascii="黑体" w:hAnsi="黑体" w:eastAsia="黑体" w:cs="黑体"/>
                <w:color w:val="000000"/>
                <w:sz w:val="24"/>
              </w:rPr>
            </w:pPr>
            <w:r>
              <w:rPr>
                <w:rFonts w:hint="eastAsia" w:ascii="黑体" w:hAnsi="黑体" w:eastAsia="黑体" w:cs="黑体"/>
                <w:color w:val="000000"/>
                <w:kern w:val="0"/>
                <w:sz w:val="24"/>
              </w:rPr>
              <w:t>事项</w:t>
            </w:r>
          </w:p>
        </w:tc>
        <w:tc>
          <w:tcPr>
            <w:tcW w:w="3118" w:type="dxa"/>
            <w:tcBorders>
              <w:tl2br w:val="nil"/>
              <w:tr2bl w:val="nil"/>
            </w:tcBorders>
            <w:shd w:val="clear" w:color="auto" w:fill="auto"/>
            <w:vAlign w:val="center"/>
          </w:tcPr>
          <w:p w14:paraId="73409A9A">
            <w:pPr>
              <w:widowControl/>
              <w:spacing w:line="240" w:lineRule="exact"/>
              <w:jc w:val="center"/>
              <w:textAlignment w:val="center"/>
              <w:rPr>
                <w:rFonts w:ascii="黑体" w:hAnsi="黑体" w:eastAsia="黑体" w:cs="黑体"/>
                <w:color w:val="000000"/>
                <w:sz w:val="24"/>
              </w:rPr>
            </w:pPr>
            <w:r>
              <w:rPr>
                <w:rFonts w:hint="eastAsia" w:ascii="黑体" w:hAnsi="黑体" w:eastAsia="黑体" w:cs="黑体"/>
                <w:color w:val="000000"/>
                <w:kern w:val="0"/>
                <w:sz w:val="24"/>
              </w:rPr>
              <w:t>实施依据</w:t>
            </w:r>
          </w:p>
        </w:tc>
        <w:tc>
          <w:tcPr>
            <w:tcW w:w="1315" w:type="dxa"/>
            <w:tcBorders>
              <w:tl2br w:val="nil"/>
              <w:tr2bl w:val="nil"/>
            </w:tcBorders>
            <w:shd w:val="clear" w:color="auto" w:fill="auto"/>
            <w:vAlign w:val="center"/>
          </w:tcPr>
          <w:p w14:paraId="1BFFE762">
            <w:pPr>
              <w:widowControl/>
              <w:spacing w:line="240" w:lineRule="exact"/>
              <w:jc w:val="center"/>
              <w:textAlignment w:val="center"/>
              <w:rPr>
                <w:rFonts w:ascii="黑体" w:hAnsi="黑体" w:eastAsia="黑体" w:cs="黑体"/>
                <w:color w:val="000000"/>
                <w:kern w:val="0"/>
                <w:sz w:val="24"/>
              </w:rPr>
            </w:pPr>
            <w:r>
              <w:rPr>
                <w:rFonts w:hint="eastAsia" w:ascii="黑体" w:hAnsi="黑体" w:eastAsia="黑体" w:cs="黑体"/>
                <w:color w:val="000000"/>
                <w:kern w:val="0"/>
                <w:sz w:val="24"/>
              </w:rPr>
              <w:t>行政主体</w:t>
            </w:r>
          </w:p>
        </w:tc>
        <w:tc>
          <w:tcPr>
            <w:tcW w:w="3785" w:type="dxa"/>
            <w:tcBorders>
              <w:tl2br w:val="nil"/>
              <w:tr2bl w:val="nil"/>
            </w:tcBorders>
            <w:shd w:val="clear" w:color="auto" w:fill="auto"/>
            <w:vAlign w:val="center"/>
          </w:tcPr>
          <w:p w14:paraId="674A33D9">
            <w:pPr>
              <w:widowControl/>
              <w:spacing w:line="240" w:lineRule="exact"/>
              <w:jc w:val="center"/>
              <w:textAlignment w:val="center"/>
              <w:rPr>
                <w:rFonts w:ascii="黑体" w:hAnsi="黑体" w:eastAsia="黑体" w:cs="黑体"/>
                <w:color w:val="000000"/>
                <w:sz w:val="24"/>
              </w:rPr>
            </w:pPr>
            <w:r>
              <w:rPr>
                <w:rFonts w:hint="eastAsia" w:ascii="黑体" w:hAnsi="黑体" w:eastAsia="黑体" w:cs="黑体"/>
                <w:color w:val="000000"/>
                <w:kern w:val="0"/>
                <w:sz w:val="24"/>
              </w:rPr>
              <w:t>责任事项</w:t>
            </w:r>
          </w:p>
        </w:tc>
        <w:tc>
          <w:tcPr>
            <w:tcW w:w="3402" w:type="dxa"/>
            <w:tcBorders>
              <w:tl2br w:val="nil"/>
              <w:tr2bl w:val="nil"/>
            </w:tcBorders>
            <w:shd w:val="clear" w:color="auto" w:fill="auto"/>
            <w:vAlign w:val="center"/>
          </w:tcPr>
          <w:p w14:paraId="50DE9FD5">
            <w:pPr>
              <w:widowControl/>
              <w:spacing w:line="240" w:lineRule="exact"/>
              <w:jc w:val="center"/>
              <w:textAlignment w:val="center"/>
              <w:rPr>
                <w:rFonts w:ascii="黑体" w:hAnsi="黑体" w:eastAsia="黑体" w:cs="黑体"/>
                <w:color w:val="000000"/>
                <w:sz w:val="24"/>
              </w:rPr>
            </w:pPr>
            <w:r>
              <w:rPr>
                <w:rFonts w:hint="eastAsia" w:ascii="黑体" w:hAnsi="黑体" w:eastAsia="黑体" w:cs="黑体"/>
                <w:color w:val="000000"/>
                <w:kern w:val="0"/>
                <w:sz w:val="24"/>
              </w:rPr>
              <w:t>追责情形</w:t>
            </w:r>
          </w:p>
        </w:tc>
        <w:tc>
          <w:tcPr>
            <w:tcW w:w="567" w:type="dxa"/>
            <w:tcBorders>
              <w:tl2br w:val="nil"/>
              <w:tr2bl w:val="nil"/>
            </w:tcBorders>
            <w:shd w:val="clear" w:color="auto" w:fill="auto"/>
            <w:vAlign w:val="center"/>
          </w:tcPr>
          <w:p w14:paraId="5933A442">
            <w:pPr>
              <w:widowControl/>
              <w:spacing w:line="240" w:lineRule="exact"/>
              <w:jc w:val="center"/>
              <w:textAlignment w:val="center"/>
              <w:rPr>
                <w:rFonts w:ascii="黑体" w:hAnsi="黑体" w:eastAsia="黑体" w:cs="黑体"/>
                <w:color w:val="000000"/>
                <w:sz w:val="24"/>
              </w:rPr>
            </w:pPr>
            <w:r>
              <w:rPr>
                <w:rFonts w:hint="eastAsia" w:ascii="黑体" w:hAnsi="黑体" w:eastAsia="黑体" w:cs="黑体"/>
                <w:color w:val="000000"/>
                <w:kern w:val="0"/>
                <w:sz w:val="24"/>
              </w:rPr>
              <w:t>备注</w:t>
            </w:r>
          </w:p>
        </w:tc>
      </w:tr>
      <w:tr w14:paraId="3ECDC9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4741428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w:t>
            </w:r>
          </w:p>
        </w:tc>
        <w:tc>
          <w:tcPr>
            <w:tcW w:w="850" w:type="dxa"/>
            <w:tcBorders>
              <w:tl2br w:val="nil"/>
              <w:tr2bl w:val="nil"/>
            </w:tcBorders>
            <w:shd w:val="clear" w:color="auto" w:fill="auto"/>
            <w:vAlign w:val="center"/>
          </w:tcPr>
          <w:p w14:paraId="15DEC35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行政备案</w:t>
            </w:r>
          </w:p>
        </w:tc>
        <w:tc>
          <w:tcPr>
            <w:tcW w:w="1134" w:type="dxa"/>
            <w:tcBorders>
              <w:tl2br w:val="nil"/>
              <w:tr2bl w:val="nil"/>
            </w:tcBorders>
            <w:shd w:val="clear" w:color="auto" w:fill="auto"/>
            <w:vAlign w:val="center"/>
          </w:tcPr>
          <w:p w14:paraId="5B8CB20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建设工程最高限价备案</w:t>
            </w:r>
          </w:p>
        </w:tc>
        <w:tc>
          <w:tcPr>
            <w:tcW w:w="3118" w:type="dxa"/>
            <w:tcBorders>
              <w:tl2br w:val="nil"/>
              <w:tr2bl w:val="nil"/>
            </w:tcBorders>
            <w:shd w:val="clear" w:color="auto" w:fill="auto"/>
            <w:vAlign w:val="center"/>
          </w:tcPr>
          <w:p w14:paraId="44402F2E">
            <w:pPr>
              <w:widowControl/>
              <w:spacing w:line="200" w:lineRule="exact"/>
              <w:textAlignment w:val="center"/>
              <w:rPr>
                <w:rFonts w:ascii="仿宋_GB2312" w:hAnsi="仿宋_GB2312" w:eastAsia="仿宋_GB2312" w:cs="仿宋_GB2312"/>
                <w:color w:val="000000"/>
                <w:kern w:val="0"/>
                <w:sz w:val="15"/>
                <w:szCs w:val="15"/>
              </w:rPr>
            </w:pPr>
            <w:r>
              <w:rPr>
                <w:rFonts w:hint="eastAsia" w:ascii="仿宋_GB2312" w:hAnsi="仿宋_GB2312" w:eastAsia="仿宋_GB2312" w:cs="仿宋_GB2312"/>
                <w:color w:val="000000"/>
                <w:kern w:val="0"/>
                <w:sz w:val="15"/>
                <w:szCs w:val="15"/>
              </w:rPr>
              <w:t>1.《建筑工程施工发包与承包计价管理办法》（建设部令第16号）第四条 国务院住房城乡建设主管部门负责全国工程发承包计价工作的管理。第六条 全部使用国有资金投资或者以国有资金投资为主的建筑工程（以下简称国有资金投资的建筑工程），应当采用工程量清单计价；非国有资金投资的建筑工程，鼓励采用工程量清单计价。国有资金投资的建筑工程招标的，应当设有最高投标限价；非国有资金投资的建筑工程招标的，可以设有最高投标限价或者招标标底。最高投标限价及其成果文件，应当由招标人报工程所在地县级以上地方人民政府住房城乡建设主管部门备案。第七条 工程量清单应当依据国家制定的工程量清单计价规范、工程量计算规范等编制。工程量清单应当作为招标文件的组成部分。</w:t>
            </w:r>
          </w:p>
          <w:p w14:paraId="08E802B9">
            <w:pPr>
              <w:widowControl/>
              <w:spacing w:line="200" w:lineRule="exact"/>
              <w:textAlignment w:val="center"/>
              <w:rPr>
                <w:rFonts w:ascii="仿宋_GB2312" w:hAnsi="仿宋_GB2312" w:eastAsia="仿宋_GB2312" w:cs="仿宋_GB2312"/>
                <w:color w:val="000000"/>
                <w:kern w:val="0"/>
                <w:sz w:val="15"/>
                <w:szCs w:val="15"/>
              </w:rPr>
            </w:pPr>
            <w:r>
              <w:rPr>
                <w:rFonts w:hint="eastAsia" w:ascii="仿宋_GB2312" w:hAnsi="仿宋_GB2312" w:eastAsia="仿宋_GB2312" w:cs="仿宋_GB2312"/>
                <w:color w:val="000000"/>
                <w:kern w:val="0"/>
                <w:sz w:val="15"/>
                <w:szCs w:val="15"/>
              </w:rPr>
              <w:t>2.《河北省建筑条例》（河北省人民代表大会常务委员会公告第22号）第二十四条 省建设行政主管部门应当依照国家和本省有关规定，组织制定全省统一的建筑工程量计算规则、建筑工程项目划分规则和计价办法，并会同有关行政监督部门对使用国有资金投资或者国家融资的建筑工程的造价实施监督管理。</w:t>
            </w:r>
          </w:p>
          <w:p w14:paraId="5C28B2B6">
            <w:pPr>
              <w:widowControl/>
              <w:spacing w:line="200" w:lineRule="exact"/>
              <w:textAlignment w:val="center"/>
              <w:rPr>
                <w:rFonts w:ascii="仿宋_GB2312" w:hAnsi="仿宋_GB2312" w:eastAsia="仿宋_GB2312" w:cs="仿宋_GB2312"/>
                <w:color w:val="000000"/>
                <w:kern w:val="0"/>
                <w:sz w:val="15"/>
                <w:szCs w:val="15"/>
              </w:rPr>
            </w:pPr>
            <w:r>
              <w:rPr>
                <w:rFonts w:hint="eastAsia" w:ascii="仿宋_GB2312" w:hAnsi="仿宋_GB2312" w:eastAsia="仿宋_GB2312" w:cs="仿宋_GB2312"/>
                <w:color w:val="000000"/>
                <w:kern w:val="0"/>
                <w:sz w:val="15"/>
                <w:szCs w:val="15"/>
              </w:rPr>
              <w:t xml:space="preserve">3.《河北省建筑工程造价管理办法》（河北省人民政府令[2014]8号 根据2022年1月9日河北省人民政府令〔2022〕第1号修正）第十三条使用国有资金投资或者国家融资的建筑工程，应当采用工程量清单计价，并在招标时设立和发布最高投标限价。前款规定以外的建筑工程，鼓励采用工程量清单计价，在招标时可以设立和发布最高投标限价或者招标标底。最高投标限价及其成果文件，应当由招标人报建筑工程所在地人民政府住房城乡建设主管部门备案。  </w:t>
            </w:r>
          </w:p>
          <w:p w14:paraId="6A25E2A4">
            <w:pPr>
              <w:widowControl/>
              <w:spacing w:line="20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5"/>
                <w:szCs w:val="15"/>
              </w:rPr>
              <w:t>4.《河北省建筑工程最高限价和竣工结算备案监督管理办法》（冀建法[2007]315号）第四条 省建设行政主管部门负责全省国有投融资建筑工程最高限价和竣工结算备案的监督管理，具体监督管理工作委托省工程建设造价管理机构实施。设区市和县（市）建设行政主管部门负责本行政区域内国有投融资建筑工程最高限价和竣工结算备案的监督管理，具体工作可以委托其所属的工程造价管理机构实施。第五条 中央托管项目国有投融资建筑工程、省重点建设项目国有投融资建筑工程及省建设行政主管部门负责监督招标的国有投融资建筑工程的最高限价成果文件、竣工结算文件，向省工程建设造价管理机构告知或者备案；其它国有投融资建筑工程的最高限价成果文件、竣工结算文件，向工程所在地设区市、县（市）建设行政主管部门或者其委托的造价管理机构告知或者备案。</w:t>
            </w:r>
          </w:p>
        </w:tc>
        <w:tc>
          <w:tcPr>
            <w:tcW w:w="1315" w:type="dxa"/>
            <w:tcBorders>
              <w:tl2br w:val="nil"/>
              <w:tr2bl w:val="nil"/>
            </w:tcBorders>
            <w:shd w:val="clear" w:color="auto" w:fill="auto"/>
            <w:vAlign w:val="center"/>
          </w:tcPr>
          <w:p w14:paraId="56865B8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785" w:type="dxa"/>
            <w:tcBorders>
              <w:tl2br w:val="nil"/>
              <w:tr2bl w:val="nil"/>
            </w:tcBorders>
            <w:shd w:val="clear" w:color="auto" w:fill="auto"/>
            <w:vAlign w:val="center"/>
          </w:tcPr>
          <w:p w14:paraId="2FB78639">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1.受理阶段责任：一次性告知应提交的材料。</w:t>
            </w:r>
          </w:p>
          <w:p w14:paraId="7549FB64">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2.审查阶段责任：提出审查意见，信息公开。</w:t>
            </w:r>
          </w:p>
          <w:p w14:paraId="1A33C01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3.决定阶段责任：做出准予备案或不予备案的决定；按时办结；法定告知。</w:t>
            </w:r>
          </w:p>
          <w:p w14:paraId="5DEC853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4.送达阶段责任：予备案的，出具备案手续；不予备案的，履行告知手续。</w:t>
            </w:r>
          </w:p>
          <w:p w14:paraId="49600AA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5.实施监督责任：加强监督检查；依法查处违规行为；维护建筑市场秩序。</w:t>
            </w:r>
          </w:p>
        </w:tc>
        <w:tc>
          <w:tcPr>
            <w:tcW w:w="3402" w:type="dxa"/>
            <w:tcBorders>
              <w:tl2br w:val="nil"/>
              <w:tr2bl w:val="nil"/>
            </w:tcBorders>
            <w:shd w:val="clear" w:color="auto" w:fill="auto"/>
            <w:vAlign w:val="center"/>
          </w:tcPr>
          <w:p w14:paraId="0B20CEE6">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因不履行或不正确履行行政职责，有下列情形的，相关告知人员应承担相应责任：</w:t>
            </w:r>
          </w:p>
          <w:p w14:paraId="23C0E9B3">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1.对符合法定条件的行政备案申请不予以受理的；</w:t>
            </w:r>
          </w:p>
          <w:p w14:paraId="5BF50E86">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2.不在办公场所公示依法应当公示的材料的；</w:t>
            </w:r>
          </w:p>
          <w:p w14:paraId="6EEBA12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3.徇私舞弊，不按法定程序擅自颁发或出具有行政备案证明的；</w:t>
            </w:r>
          </w:p>
          <w:p w14:paraId="09B4AC30">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4.对不符合法定条件的申请人准予备案或者超越法定职责权做出准予备案决定的；</w:t>
            </w:r>
          </w:p>
          <w:p w14:paraId="4B57D7FF">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5.申请人提交的申请材料不齐全、不符合法定形式，故意不一次性告知申请人必须补正的全部内容的；</w:t>
            </w:r>
          </w:p>
          <w:p w14:paraId="58B99B34">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6.未依法说明不受理行政备案申请或者不予备案的理由的；</w:t>
            </w:r>
          </w:p>
          <w:p w14:paraId="4E75AAEA">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7.在受理行政备案过程中索取或者收受他人财物谋取其他利益的；</w:t>
            </w:r>
          </w:p>
          <w:p w14:paraId="5C07800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8.在受理行政备案过程中故意刁难，对符合法定条件的申请人不予行政备案或者不在法定期限内做出行政备案决定的。</w:t>
            </w:r>
          </w:p>
        </w:tc>
        <w:tc>
          <w:tcPr>
            <w:tcW w:w="567" w:type="dxa"/>
            <w:tcBorders>
              <w:tl2br w:val="nil"/>
              <w:tr2bl w:val="nil"/>
            </w:tcBorders>
            <w:shd w:val="clear" w:color="auto" w:fill="auto"/>
            <w:vAlign w:val="center"/>
          </w:tcPr>
          <w:p w14:paraId="1ED17867">
            <w:pPr>
              <w:spacing w:line="240" w:lineRule="exact"/>
              <w:jc w:val="center"/>
              <w:rPr>
                <w:rFonts w:ascii="仿宋_GB2312" w:hAnsi="仿宋_GB2312" w:eastAsia="仿宋_GB2312" w:cs="仿宋_GB2312"/>
                <w:color w:val="000000"/>
                <w:sz w:val="18"/>
                <w:szCs w:val="18"/>
              </w:rPr>
            </w:pPr>
          </w:p>
        </w:tc>
      </w:tr>
      <w:tr w14:paraId="74FC47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70903F3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w:t>
            </w:r>
          </w:p>
        </w:tc>
        <w:tc>
          <w:tcPr>
            <w:tcW w:w="850" w:type="dxa"/>
            <w:tcBorders>
              <w:tl2br w:val="nil"/>
              <w:tr2bl w:val="nil"/>
            </w:tcBorders>
            <w:shd w:val="clear" w:color="auto" w:fill="auto"/>
            <w:vAlign w:val="center"/>
          </w:tcPr>
          <w:p w14:paraId="6FFA68AD">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行政备案</w:t>
            </w:r>
          </w:p>
        </w:tc>
        <w:tc>
          <w:tcPr>
            <w:tcW w:w="1134" w:type="dxa"/>
            <w:tcBorders>
              <w:tl2br w:val="nil"/>
              <w:tr2bl w:val="nil"/>
            </w:tcBorders>
            <w:shd w:val="clear" w:color="auto" w:fill="auto"/>
            <w:vAlign w:val="center"/>
          </w:tcPr>
          <w:p w14:paraId="3055F6C2">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建设工程竣工结算备案</w:t>
            </w:r>
          </w:p>
        </w:tc>
        <w:tc>
          <w:tcPr>
            <w:tcW w:w="3118" w:type="dxa"/>
            <w:tcBorders>
              <w:tl2br w:val="nil"/>
              <w:tr2bl w:val="nil"/>
            </w:tcBorders>
            <w:shd w:val="clear" w:color="auto" w:fill="auto"/>
            <w:vAlign w:val="center"/>
          </w:tcPr>
          <w:p w14:paraId="68B45234">
            <w:pPr>
              <w:widowControl/>
              <w:spacing w:line="200" w:lineRule="exact"/>
              <w:jc w:val="left"/>
              <w:textAlignment w:val="center"/>
              <w:rPr>
                <w:rFonts w:ascii="仿宋_GB2312" w:hAnsi="仿宋_GB2312" w:eastAsia="仿宋_GB2312" w:cs="仿宋_GB2312"/>
                <w:color w:val="000000"/>
                <w:kern w:val="0"/>
                <w:sz w:val="15"/>
                <w:szCs w:val="15"/>
              </w:rPr>
            </w:pPr>
            <w:r>
              <w:rPr>
                <w:rFonts w:hint="eastAsia" w:ascii="仿宋_GB2312" w:hAnsi="仿宋_GB2312" w:eastAsia="仿宋_GB2312" w:cs="仿宋_GB2312"/>
                <w:color w:val="000000"/>
                <w:kern w:val="0"/>
                <w:sz w:val="15"/>
                <w:szCs w:val="15"/>
              </w:rPr>
              <w:t>1.河北省建设厅关于印发《河北省建筑工程最高限价和竣工结算备案监督管理办法》的通知（冀建法[2007]315号）第四条 省建设行政主管部门负责全省国有投融资建筑工程最高限价和竣工结算备案的监督管理，具体监督管理工作委托省工程建设造价管理机构实施。设区市和县（市）建设行政主管部门负责本行政区域内国有投融资建筑工程最高限价和竣工结算备案的监督管理，具体工作可以委托其所属的工程造价管理机构实施。第五条 中央托管项目国有投融资建筑工程、省重点建设项目国有投融资建筑工程及省建设行政主管部门负责监督招标的国有投融资建筑工程的最高限价成果文件、竣工结算文件，向省工程建设造价管理机构告知或者备案；其它国有投融资建筑工程的最高限价成果文件、竣工结算文件，向工程所在地设区市、县（市）建设行政主管部门或者其委托的造价管理机构告知或者备案。第二十九条  对非国有资金投资或者非国家融资的建筑工程的最高限价、竣工结算的监督管理，可以参照本办法执行。</w:t>
            </w:r>
          </w:p>
          <w:p w14:paraId="316832C6">
            <w:pPr>
              <w:widowControl/>
              <w:spacing w:line="200" w:lineRule="exact"/>
              <w:jc w:val="left"/>
              <w:textAlignment w:val="center"/>
              <w:rPr>
                <w:rFonts w:ascii="仿宋_GB2312" w:hAnsi="仿宋_GB2312" w:eastAsia="仿宋_GB2312" w:cs="仿宋_GB2312"/>
                <w:color w:val="000000"/>
                <w:kern w:val="0"/>
                <w:sz w:val="15"/>
                <w:szCs w:val="15"/>
              </w:rPr>
            </w:pPr>
            <w:r>
              <w:rPr>
                <w:rFonts w:hint="eastAsia" w:ascii="仿宋_GB2312" w:hAnsi="仿宋_GB2312" w:eastAsia="仿宋_GB2312" w:cs="仿宋_GB2312"/>
                <w:color w:val="000000"/>
                <w:kern w:val="0"/>
                <w:sz w:val="15"/>
                <w:szCs w:val="15"/>
              </w:rPr>
              <w:t>2.《建筑工程施工发包与承包计价管理办法》（住建部令第16号）第四条国务院住房城乡建设主管部门负责全国工程发承包计价工作的管理。 县级以上地方人民政府住房城乡建设主管部门负责本行政区域内工程发承包计价工作的管理。其具体工作可以委托工程造价管理机构负责。第十九条 工程竣工结算文件经发承包双方签字确认的，应当作为工程决算的依据，未经对方同意，另一方不得就已生效的竣工结算文件委托工程造价咨询企业重复审核。发包方应当按照竣工结算文件及时支付竣工结算款。 竣工结算文件应当由发包方报工程所在地县级以上地方人民政府住房城乡建设主管部门备案。</w:t>
            </w:r>
          </w:p>
          <w:p w14:paraId="755288C1">
            <w:pPr>
              <w:widowControl/>
              <w:spacing w:line="200" w:lineRule="exact"/>
              <w:jc w:val="left"/>
              <w:textAlignment w:val="center"/>
              <w:rPr>
                <w:rFonts w:ascii="仿宋_GB2312" w:hAnsi="仿宋_GB2312" w:eastAsia="仿宋_GB2312" w:cs="仿宋_GB2312"/>
                <w:color w:val="000000"/>
                <w:kern w:val="0"/>
                <w:sz w:val="15"/>
                <w:szCs w:val="15"/>
              </w:rPr>
            </w:pPr>
            <w:r>
              <w:rPr>
                <w:rFonts w:hint="eastAsia" w:ascii="仿宋_GB2312" w:hAnsi="仿宋_GB2312" w:eastAsia="仿宋_GB2312" w:cs="仿宋_GB2312"/>
                <w:color w:val="000000"/>
                <w:kern w:val="0"/>
                <w:sz w:val="15"/>
                <w:szCs w:val="15"/>
              </w:rPr>
              <w:t>3.《河北省建筑工程造价管理办法》（河北省人民政府令[2014]8号）第二十条 工程竣工验收合格后二十八日内，建设单位应当将竣工结算文件报工程所在地人民政府住房城乡建设主管部门备案。</w:t>
            </w:r>
          </w:p>
          <w:p w14:paraId="4076AED7">
            <w:pPr>
              <w:widowControl/>
              <w:spacing w:line="20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5"/>
                <w:szCs w:val="15"/>
              </w:rPr>
              <w:t>4.《河北省建筑条例》（河北省人民代表大会常务委员会公告第22号）第二十七条使用国有资金投资或者国家融资的建筑工程，建设单位应当自工程竣工之日起二十八日内，将竣工结算资料报县级以上人民政府建设行政主管部门备案。</w:t>
            </w:r>
          </w:p>
        </w:tc>
        <w:tc>
          <w:tcPr>
            <w:tcW w:w="1315" w:type="dxa"/>
            <w:tcBorders>
              <w:tl2br w:val="nil"/>
              <w:tr2bl w:val="nil"/>
            </w:tcBorders>
            <w:shd w:val="clear" w:color="auto" w:fill="auto"/>
            <w:vAlign w:val="center"/>
          </w:tcPr>
          <w:p w14:paraId="466DEC23">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785" w:type="dxa"/>
            <w:tcBorders>
              <w:tl2br w:val="nil"/>
              <w:tr2bl w:val="nil"/>
            </w:tcBorders>
            <w:shd w:val="clear" w:color="auto" w:fill="auto"/>
            <w:vAlign w:val="center"/>
          </w:tcPr>
          <w:p w14:paraId="46FAE2B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1.受理阶段责任：一次性告知应提交的材料。</w:t>
            </w:r>
          </w:p>
          <w:p w14:paraId="371CE5A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2.审查阶段责任：提出审查意见，信息公开。</w:t>
            </w:r>
          </w:p>
          <w:p w14:paraId="572808E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3.决定阶段责任：做出准予备案或不予备案的决定；按时办结；法定告知。</w:t>
            </w:r>
          </w:p>
          <w:p w14:paraId="42A70B4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4.送达阶段责任：予备案的，出具备案手续；不予备案的，履行告知手续。</w:t>
            </w:r>
          </w:p>
          <w:p w14:paraId="0EEFA62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5.实施监督责任：加强监督检查；依法查处违规行为；维护建筑市场秩序。</w:t>
            </w:r>
          </w:p>
        </w:tc>
        <w:tc>
          <w:tcPr>
            <w:tcW w:w="3402" w:type="dxa"/>
            <w:tcBorders>
              <w:tl2br w:val="nil"/>
              <w:tr2bl w:val="nil"/>
            </w:tcBorders>
            <w:shd w:val="clear" w:color="auto" w:fill="auto"/>
            <w:vAlign w:val="center"/>
          </w:tcPr>
          <w:p w14:paraId="148135F4">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因不履行或不正确履行行政职责，有下列情形的，相关告知人员应承担相应责任：</w:t>
            </w:r>
          </w:p>
          <w:p w14:paraId="51E70D17">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1.对符合法定条件的行政备案申请不予以受理的；</w:t>
            </w:r>
          </w:p>
          <w:p w14:paraId="4732D279">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2.不在办公场所公示依法应当公示的材料的；</w:t>
            </w:r>
          </w:p>
          <w:p w14:paraId="04DE42C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3.徇私舞弊，不按法定程序擅自颁发或出具有行政备案证明的；</w:t>
            </w:r>
          </w:p>
          <w:p w14:paraId="1E686499">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4.对不符合法定条件的申请人准予备案或者超越法定职责权做出准予备案决定的；</w:t>
            </w:r>
          </w:p>
          <w:p w14:paraId="6050B891">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5.申请人提交的申请材料不齐全、不符合法定形式，故意不一次性告知申请人必须补正的全部内容的；</w:t>
            </w:r>
          </w:p>
          <w:p w14:paraId="5486CCF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6.未依法说明不受理行政备案申请或者不予备案的理由的；</w:t>
            </w:r>
          </w:p>
          <w:p w14:paraId="0AEA688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7.在受理行政备案过程中索取或者收受他人财物谋取其他利益的；</w:t>
            </w:r>
          </w:p>
          <w:p w14:paraId="2FC0E8D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8.在受理行政备案过程中故意刁难，对符合法定条件的申请人不予行政备案或者不在法定期限内做出行政备案决定的。</w:t>
            </w:r>
          </w:p>
        </w:tc>
        <w:tc>
          <w:tcPr>
            <w:tcW w:w="567" w:type="dxa"/>
            <w:tcBorders>
              <w:tl2br w:val="nil"/>
              <w:tr2bl w:val="nil"/>
            </w:tcBorders>
            <w:shd w:val="clear" w:color="auto" w:fill="auto"/>
            <w:vAlign w:val="center"/>
          </w:tcPr>
          <w:p w14:paraId="52E90E09">
            <w:pPr>
              <w:spacing w:line="240" w:lineRule="exact"/>
              <w:jc w:val="center"/>
              <w:rPr>
                <w:rFonts w:ascii="仿宋_GB2312" w:hAnsi="仿宋_GB2312" w:eastAsia="仿宋_GB2312" w:cs="仿宋_GB2312"/>
                <w:color w:val="000000"/>
                <w:sz w:val="18"/>
                <w:szCs w:val="18"/>
              </w:rPr>
            </w:pPr>
          </w:p>
        </w:tc>
      </w:tr>
      <w:tr w14:paraId="0289D8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211F647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3</w:t>
            </w:r>
          </w:p>
        </w:tc>
        <w:tc>
          <w:tcPr>
            <w:tcW w:w="850" w:type="dxa"/>
            <w:tcBorders>
              <w:tl2br w:val="nil"/>
              <w:tr2bl w:val="nil"/>
            </w:tcBorders>
            <w:shd w:val="clear" w:color="auto" w:fill="auto"/>
            <w:vAlign w:val="center"/>
          </w:tcPr>
          <w:p w14:paraId="68ACA89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行政备案</w:t>
            </w:r>
          </w:p>
        </w:tc>
        <w:tc>
          <w:tcPr>
            <w:tcW w:w="1134" w:type="dxa"/>
            <w:tcBorders>
              <w:tl2br w:val="nil"/>
              <w:tr2bl w:val="nil"/>
            </w:tcBorders>
            <w:shd w:val="clear" w:color="auto" w:fill="auto"/>
            <w:vAlign w:val="center"/>
          </w:tcPr>
          <w:p w14:paraId="641119E1">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招标文件备案</w:t>
            </w:r>
          </w:p>
        </w:tc>
        <w:tc>
          <w:tcPr>
            <w:tcW w:w="3118" w:type="dxa"/>
            <w:tcBorders>
              <w:tl2br w:val="nil"/>
              <w:tr2bl w:val="nil"/>
            </w:tcBorders>
            <w:shd w:val="clear" w:color="auto" w:fill="auto"/>
            <w:vAlign w:val="center"/>
          </w:tcPr>
          <w:p w14:paraId="31737D18">
            <w:pPr>
              <w:widowControl/>
              <w:spacing w:line="24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1.《中华人民共和国招标投标法》（主席令第21号）第十九条 招标人应当根据招标项目的特点和需要编制招标文件。招标文件应当包括招标项目的技术要求、对投标人资格审查的标准、投标报价要求和评标标准等所有实质性要求和条件以及拟签订合同的主要条款。国家对招标项目的技术、标准有规定的，招标人应当按照其规定在招标文件中提出相应要求。招标项目需要划分标段、确定工期的，招标人应当合理划分标段、确定工期，并在招标文件中载明。</w:t>
            </w:r>
          </w:p>
          <w:p w14:paraId="56E64B3B">
            <w:pPr>
              <w:widowControl/>
              <w:spacing w:line="24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2.《房屋建筑和市政基础设施工程施工招标投标管理办法》（建设部令第89号） 第十八条 依法必须进行施工招标的工程，招标人应当在招标文件发出的同时，将招标文件报工程所在地的县级以上地方人民政府建设行政主管部门备案，但实施电子招标投标的项目除外。建设行政主管部门发现招标文件有违反法律、法规内容的，应当责令招标人改正。第十九条 招标人对已发出的招标文件进行必要的澄清或者修改的，应当在招标文件要求提交投标文件截止时间至少15日前，以书面形式通知所有招标文件收受人，并同时报工程所在地的县级以上地方人民政府建设行政主管部门备案，但实施电子招标投标的项目除外。该澄清或者修改的内容为招标文件的组成部分。</w:t>
            </w:r>
          </w:p>
          <w:p w14:paraId="0EE001A5">
            <w:pPr>
              <w:widowControl/>
              <w:spacing w:line="240" w:lineRule="exact"/>
              <w:jc w:val="left"/>
              <w:textAlignment w:val="center"/>
              <w:rPr>
                <w:rFonts w:ascii="仿宋_GB2312" w:hAnsi="仿宋_GB2312" w:eastAsia="仿宋_GB2312" w:cs="仿宋_GB2312"/>
                <w:color w:val="FF0000"/>
                <w:sz w:val="18"/>
                <w:szCs w:val="18"/>
              </w:rPr>
            </w:pPr>
            <w:r>
              <w:rPr>
                <w:rFonts w:hint="eastAsia" w:ascii="仿宋_GB2312" w:hAnsi="仿宋_GB2312" w:eastAsia="仿宋_GB2312" w:cs="仿宋_GB2312"/>
                <w:kern w:val="0"/>
                <w:sz w:val="18"/>
                <w:szCs w:val="18"/>
              </w:rPr>
              <w:t>3.《河北省建筑条例》（河北省第十届人民代表大会常务委员会公告第22号）第十四条 招标人在发出招标文件的同时，应当将招标文件报工程所在地县级以上人民政府建设行政主管部门备案。</w:t>
            </w:r>
          </w:p>
        </w:tc>
        <w:tc>
          <w:tcPr>
            <w:tcW w:w="1315" w:type="dxa"/>
            <w:tcBorders>
              <w:tl2br w:val="nil"/>
              <w:tr2bl w:val="nil"/>
            </w:tcBorders>
            <w:shd w:val="clear" w:color="auto" w:fill="auto"/>
            <w:vAlign w:val="center"/>
          </w:tcPr>
          <w:p w14:paraId="0E5F05E8">
            <w:pPr>
              <w:jc w:val="center"/>
            </w:pPr>
            <w:r>
              <w:rPr>
                <w:rFonts w:hint="eastAsia" w:ascii="仿宋_GB2312" w:hAnsi="仿宋_GB2312" w:eastAsia="仿宋_GB2312" w:cs="仿宋_GB2312"/>
                <w:color w:val="000000"/>
                <w:kern w:val="0"/>
                <w:sz w:val="18"/>
                <w:szCs w:val="18"/>
              </w:rPr>
              <w:t>山海关区住建局</w:t>
            </w:r>
          </w:p>
        </w:tc>
        <w:tc>
          <w:tcPr>
            <w:tcW w:w="3785" w:type="dxa"/>
            <w:tcBorders>
              <w:tl2br w:val="nil"/>
              <w:tr2bl w:val="nil"/>
            </w:tcBorders>
            <w:shd w:val="clear" w:color="auto" w:fill="auto"/>
            <w:vAlign w:val="center"/>
          </w:tcPr>
          <w:p w14:paraId="6E4C13D9">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受理责任：申请人提交符合法定要求的招标文件，即提交备案申请；申请资料齐全、符合法定要求的，应当受理申请；申请资料不齐全或者不符合法定要求的，应当告知申请人需要补正的全部内容；不得要求申请人提交无关的材料；不符合条件的，不予受理。</w:t>
            </w:r>
          </w:p>
          <w:p w14:paraId="17A972F7">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2.审查责任：符合法定备案要求的，核准后予以备案。不符合法定备案要求的，打回并说明原因。</w:t>
            </w:r>
          </w:p>
          <w:p w14:paraId="4CD8E13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3.其他法律法规规章文件规定应履行的责任。</w:t>
            </w:r>
          </w:p>
        </w:tc>
        <w:tc>
          <w:tcPr>
            <w:tcW w:w="3402" w:type="dxa"/>
            <w:tcBorders>
              <w:tl2br w:val="nil"/>
              <w:tr2bl w:val="nil"/>
            </w:tcBorders>
            <w:shd w:val="clear" w:color="auto" w:fill="auto"/>
            <w:vAlign w:val="center"/>
          </w:tcPr>
          <w:p w14:paraId="63C82FB1">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p>
          <w:p w14:paraId="69338E2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1.对符合备案受理条件而不予备案的；</w:t>
            </w:r>
          </w:p>
          <w:p w14:paraId="740BB05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2.对不符合条件规定的备案申请予以受理的；</w:t>
            </w:r>
          </w:p>
          <w:p w14:paraId="53C82E97">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3.擅自取消或停止备案的；</w:t>
            </w:r>
          </w:p>
          <w:p w14:paraId="371FD544">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4.在办理备案或变更备案时，变相收取费用的；</w:t>
            </w:r>
          </w:p>
          <w:p w14:paraId="59734B1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5.在备案中玩忽职守、滥用职权的；</w:t>
            </w:r>
          </w:p>
          <w:p w14:paraId="6695C874">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6.在备案中发生腐败行为的；</w:t>
            </w:r>
          </w:p>
          <w:p w14:paraId="5E4F56D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7.其他违反法律法规规章文件规定的行为。</w:t>
            </w:r>
          </w:p>
        </w:tc>
        <w:tc>
          <w:tcPr>
            <w:tcW w:w="567" w:type="dxa"/>
            <w:tcBorders>
              <w:tl2br w:val="nil"/>
              <w:tr2bl w:val="nil"/>
            </w:tcBorders>
            <w:shd w:val="clear" w:color="auto" w:fill="auto"/>
            <w:vAlign w:val="center"/>
          </w:tcPr>
          <w:p w14:paraId="357608F7">
            <w:pPr>
              <w:spacing w:line="240" w:lineRule="exact"/>
              <w:jc w:val="center"/>
              <w:rPr>
                <w:rFonts w:ascii="仿宋_GB2312" w:hAnsi="仿宋_GB2312" w:eastAsia="仿宋_GB2312" w:cs="仿宋_GB2312"/>
                <w:color w:val="000000"/>
                <w:sz w:val="18"/>
                <w:szCs w:val="18"/>
              </w:rPr>
            </w:pPr>
          </w:p>
        </w:tc>
      </w:tr>
      <w:tr w14:paraId="30C14C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36E9371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4</w:t>
            </w:r>
          </w:p>
        </w:tc>
        <w:tc>
          <w:tcPr>
            <w:tcW w:w="850" w:type="dxa"/>
            <w:tcBorders>
              <w:tl2br w:val="nil"/>
              <w:tr2bl w:val="nil"/>
            </w:tcBorders>
            <w:shd w:val="clear" w:color="auto" w:fill="auto"/>
            <w:vAlign w:val="center"/>
          </w:tcPr>
          <w:p w14:paraId="27C92DCD">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行政备案</w:t>
            </w:r>
          </w:p>
        </w:tc>
        <w:tc>
          <w:tcPr>
            <w:tcW w:w="1134" w:type="dxa"/>
            <w:tcBorders>
              <w:tl2br w:val="nil"/>
              <w:tr2bl w:val="nil"/>
            </w:tcBorders>
            <w:shd w:val="clear" w:color="auto" w:fill="auto"/>
            <w:vAlign w:val="center"/>
          </w:tcPr>
          <w:p w14:paraId="27B3E5A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建设工程竣工验收消防备案</w:t>
            </w:r>
          </w:p>
        </w:tc>
        <w:tc>
          <w:tcPr>
            <w:tcW w:w="3118" w:type="dxa"/>
            <w:tcBorders>
              <w:tl2br w:val="nil"/>
              <w:tr2bl w:val="nil"/>
            </w:tcBorders>
            <w:shd w:val="clear" w:color="auto" w:fill="auto"/>
            <w:vAlign w:val="center"/>
          </w:tcPr>
          <w:p w14:paraId="09BD7B3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《中华人民共和国消防法》第十三条 国务院住房和城乡建设主管部门规定应当申请消防验收的建设工程竣工，建设单位应当向住房和城乡建设主管部门申请消防验收。前款规定以外的其他建设工程，建设单位在验收后应当报住房和城乡建设主管部门备案，住房和城乡建设主管部门应当进行抽查。第十四条 建设工程消防设计审查、消防验收、备案和抽查的具体办法，由国务院住房和城乡建设主管部门规定。</w:t>
            </w:r>
          </w:p>
        </w:tc>
        <w:tc>
          <w:tcPr>
            <w:tcW w:w="1315" w:type="dxa"/>
            <w:tcBorders>
              <w:tl2br w:val="nil"/>
              <w:tr2bl w:val="nil"/>
            </w:tcBorders>
            <w:shd w:val="clear" w:color="auto" w:fill="auto"/>
            <w:vAlign w:val="center"/>
          </w:tcPr>
          <w:p w14:paraId="23C747E0">
            <w:pPr>
              <w:jc w:val="center"/>
            </w:pPr>
            <w:r>
              <w:rPr>
                <w:rFonts w:hint="eastAsia" w:ascii="仿宋_GB2312" w:hAnsi="仿宋_GB2312" w:eastAsia="仿宋_GB2312" w:cs="仿宋_GB2312"/>
                <w:color w:val="000000"/>
                <w:kern w:val="0"/>
                <w:sz w:val="18"/>
                <w:szCs w:val="18"/>
              </w:rPr>
              <w:t>山海关区住建局</w:t>
            </w:r>
          </w:p>
        </w:tc>
        <w:tc>
          <w:tcPr>
            <w:tcW w:w="3785" w:type="dxa"/>
            <w:tcBorders>
              <w:tl2br w:val="nil"/>
              <w:tr2bl w:val="nil"/>
            </w:tcBorders>
            <w:shd w:val="clear" w:color="auto" w:fill="auto"/>
            <w:vAlign w:val="center"/>
          </w:tcPr>
          <w:p w14:paraId="31AE07AF">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1.受理责任：公示应当提交的材料，一次性告知补正材料，依法受理或不予受理（不予受理应当告知理由）。</w:t>
            </w:r>
          </w:p>
          <w:p w14:paraId="40E8411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审查责任：按照《建设工程消防设计审查验收管理暂行规定》（住建部第51号令）第三十五条，消防设计审查验收主管部门收到建设单位备案材料后，对备案材料齐全的，应当出具备案凭证；备案材料不齐全的，应当一次性告知需要补正的全部内容。</w:t>
            </w:r>
          </w:p>
          <w:p w14:paraId="14D94951">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3.决定责任；作出行政许可或者不予行政许可决定，法定告知（不予许可的应当书面告知理由）。</w:t>
            </w:r>
          </w:p>
          <w:p w14:paraId="3437BEF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4、送达责任：准予许可的制发送达许可证，按规定进行信息公开。</w:t>
            </w:r>
          </w:p>
        </w:tc>
        <w:tc>
          <w:tcPr>
            <w:tcW w:w="3402" w:type="dxa"/>
            <w:tcBorders>
              <w:tl2br w:val="nil"/>
              <w:tr2bl w:val="nil"/>
            </w:tcBorders>
            <w:shd w:val="clear" w:color="auto" w:fill="auto"/>
            <w:tcMar>
              <w:top w:w="15" w:type="dxa"/>
              <w:left w:w="0" w:type="dxa"/>
              <w:bottom w:w="15" w:type="dxa"/>
              <w:right w:w="0" w:type="dxa"/>
            </w:tcMar>
            <w:vAlign w:val="center"/>
          </w:tcPr>
          <w:p w14:paraId="73780B47">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p>
          <w:p w14:paraId="276E03B0">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1.对符合法定条件的行政许可申请不予受理的；</w:t>
            </w:r>
          </w:p>
          <w:p w14:paraId="0E23D875">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2.不在办公场所公示依法应当公示的材料的；</w:t>
            </w:r>
          </w:p>
          <w:p w14:paraId="5466AE5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3.在受理、审查、决定行政许可过程中，未向申请人、利害关系人履行法定告知义务的；</w:t>
            </w:r>
          </w:p>
          <w:p w14:paraId="6AE62C0F">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4.申请人提交的申请材料不齐全、不符合法定形式，不一次告知申请人必须补正的全部内容的；</w:t>
            </w:r>
          </w:p>
          <w:p w14:paraId="29694AB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5.未依法说明不受理行政许可申请或者不予行政许可的理由的；</w:t>
            </w:r>
          </w:p>
          <w:p w14:paraId="67BDCF4F">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6.对不符合消防安全要求的消防设计文件、建设工程、场所准予审查合格、消防验收合格、消防安全检查合格的；</w:t>
            </w:r>
          </w:p>
          <w:p w14:paraId="71954DF7">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7.无故拖延消防设计审查、消防验收、消防安全检查，不在法定期限内履行职责的；</w:t>
            </w:r>
          </w:p>
          <w:p w14:paraId="35B14EDA">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8.利用职务为用户、建设单位指定或者变相指定消防产品的品牌、销售单位或者消防技术服务机构、消防设施施工单位的；</w:t>
            </w:r>
          </w:p>
          <w:p w14:paraId="6369D0F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9.其他滥用职权、玩忽职守、徇私舞弊的行为。</w:t>
            </w:r>
          </w:p>
          <w:p w14:paraId="03D1FDA5">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10.其他违反法律法规规章文件规定行为。</w:t>
            </w:r>
          </w:p>
        </w:tc>
        <w:tc>
          <w:tcPr>
            <w:tcW w:w="567" w:type="dxa"/>
            <w:tcBorders>
              <w:tl2br w:val="nil"/>
              <w:tr2bl w:val="nil"/>
            </w:tcBorders>
            <w:shd w:val="clear" w:color="auto" w:fill="auto"/>
            <w:tcMar>
              <w:left w:w="0" w:type="dxa"/>
              <w:right w:w="0" w:type="dxa"/>
            </w:tcMar>
            <w:vAlign w:val="center"/>
          </w:tcPr>
          <w:p w14:paraId="75B3472F">
            <w:pPr>
              <w:spacing w:line="240" w:lineRule="exact"/>
              <w:jc w:val="center"/>
              <w:rPr>
                <w:rFonts w:ascii="仿宋_GB2312" w:hAnsi="仿宋_GB2312" w:eastAsia="仿宋_GB2312" w:cs="仿宋_GB2312"/>
                <w:color w:val="000000"/>
                <w:sz w:val="18"/>
                <w:szCs w:val="18"/>
              </w:rPr>
            </w:pPr>
          </w:p>
        </w:tc>
      </w:tr>
      <w:tr w14:paraId="3328DA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5D64E82D">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5</w:t>
            </w:r>
          </w:p>
        </w:tc>
        <w:tc>
          <w:tcPr>
            <w:tcW w:w="850" w:type="dxa"/>
            <w:tcBorders>
              <w:tl2br w:val="nil"/>
              <w:tr2bl w:val="nil"/>
            </w:tcBorders>
            <w:shd w:val="clear" w:color="auto" w:fill="auto"/>
            <w:vAlign w:val="center"/>
          </w:tcPr>
          <w:p w14:paraId="79CEE18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行政备案</w:t>
            </w:r>
          </w:p>
        </w:tc>
        <w:tc>
          <w:tcPr>
            <w:tcW w:w="1134" w:type="dxa"/>
            <w:tcBorders>
              <w:tl2br w:val="nil"/>
              <w:tr2bl w:val="nil"/>
            </w:tcBorders>
            <w:shd w:val="clear" w:color="auto" w:fill="auto"/>
            <w:vAlign w:val="center"/>
          </w:tcPr>
          <w:p w14:paraId="60A70DF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民用建筑节能验收备案</w:t>
            </w:r>
          </w:p>
        </w:tc>
        <w:tc>
          <w:tcPr>
            <w:tcW w:w="3118" w:type="dxa"/>
            <w:tcBorders>
              <w:tl2br w:val="nil"/>
              <w:tr2bl w:val="nil"/>
            </w:tcBorders>
            <w:shd w:val="clear" w:color="auto" w:fill="auto"/>
            <w:vAlign w:val="center"/>
          </w:tcPr>
          <w:p w14:paraId="3F4B35C2">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《河北省民用建筑节能条例》（2009年7月30日河北省第十一届人民代表大会常务委员会公告第17号）第十七条 民用建筑工程的建设单位、设计单位、施工图审查机构、施工单位、监理单位、工程质量检测机构和注册执业人员，应当执行民用建筑节能标准不符合民用建筑节能标准的民用建筑工程，不得批准开工建设;擅自开工建设的，不予批准预售;已经建成或者销售的，不予竣工验收备案，不予产权初始登记。</w:t>
            </w:r>
          </w:p>
        </w:tc>
        <w:tc>
          <w:tcPr>
            <w:tcW w:w="1315" w:type="dxa"/>
            <w:tcBorders>
              <w:tl2br w:val="nil"/>
              <w:tr2bl w:val="nil"/>
            </w:tcBorders>
            <w:shd w:val="clear" w:color="auto" w:fill="auto"/>
            <w:vAlign w:val="center"/>
          </w:tcPr>
          <w:p w14:paraId="5C5E93E6">
            <w:pPr>
              <w:jc w:val="center"/>
            </w:pPr>
            <w:r>
              <w:rPr>
                <w:rFonts w:hint="eastAsia" w:ascii="仿宋_GB2312" w:hAnsi="仿宋_GB2312" w:eastAsia="仿宋_GB2312" w:cs="仿宋_GB2312"/>
                <w:color w:val="000000"/>
                <w:kern w:val="0"/>
                <w:sz w:val="18"/>
                <w:szCs w:val="18"/>
              </w:rPr>
              <w:t>山海关区住建局</w:t>
            </w:r>
          </w:p>
        </w:tc>
        <w:tc>
          <w:tcPr>
            <w:tcW w:w="3785" w:type="dxa"/>
            <w:tcBorders>
              <w:tl2br w:val="nil"/>
              <w:tr2bl w:val="nil"/>
            </w:tcBorders>
            <w:shd w:val="clear" w:color="auto" w:fill="auto"/>
            <w:vAlign w:val="center"/>
          </w:tcPr>
          <w:p w14:paraId="02E26C40">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1.受理环节责任：查验申请材料，材料不完整的，应当一次性告知申请人需要补正的全部材料；收到申请人提交的全部补正材料后，应当作出受理或者不予受理的决定，不予受理的，应当告知理由。</w:t>
            </w:r>
          </w:p>
          <w:p w14:paraId="6C2AB206">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2.审查阶段责任：材料审核，提出审查意见。</w:t>
            </w:r>
          </w:p>
          <w:p w14:paraId="132AA25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3.其他法律法规规章规定的应履行的责任。</w:t>
            </w:r>
          </w:p>
        </w:tc>
        <w:tc>
          <w:tcPr>
            <w:tcW w:w="3402" w:type="dxa"/>
            <w:tcBorders>
              <w:tl2br w:val="nil"/>
              <w:tr2bl w:val="nil"/>
            </w:tcBorders>
            <w:shd w:val="clear" w:color="auto" w:fill="auto"/>
            <w:vAlign w:val="center"/>
          </w:tcPr>
          <w:p w14:paraId="53DC815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p>
          <w:p w14:paraId="1F3EB730">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1.符合申报条件不予受理、不予办理的；</w:t>
            </w:r>
          </w:p>
          <w:p w14:paraId="42790A2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2.不符合申报条件予以受理、办理的；</w:t>
            </w:r>
          </w:p>
          <w:p w14:paraId="1BE6DF2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3.执法人员玩忽职守、滥用职权、循私舞弊的；</w:t>
            </w:r>
          </w:p>
          <w:p w14:paraId="1D61964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4.其他违反法律法规规章规定的行为。</w:t>
            </w:r>
          </w:p>
        </w:tc>
        <w:tc>
          <w:tcPr>
            <w:tcW w:w="567" w:type="dxa"/>
            <w:tcBorders>
              <w:tl2br w:val="nil"/>
              <w:tr2bl w:val="nil"/>
            </w:tcBorders>
            <w:shd w:val="clear" w:color="auto" w:fill="auto"/>
            <w:vAlign w:val="center"/>
          </w:tcPr>
          <w:p w14:paraId="2FA8CE3F">
            <w:pPr>
              <w:spacing w:line="240" w:lineRule="exact"/>
              <w:jc w:val="center"/>
              <w:rPr>
                <w:rFonts w:ascii="仿宋_GB2312" w:hAnsi="仿宋_GB2312" w:eastAsia="仿宋_GB2312" w:cs="仿宋_GB2312"/>
                <w:color w:val="000000"/>
                <w:sz w:val="18"/>
                <w:szCs w:val="18"/>
              </w:rPr>
            </w:pPr>
          </w:p>
        </w:tc>
      </w:tr>
      <w:tr w14:paraId="2BE575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5E458C6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6</w:t>
            </w:r>
          </w:p>
        </w:tc>
        <w:tc>
          <w:tcPr>
            <w:tcW w:w="850" w:type="dxa"/>
            <w:tcBorders>
              <w:tl2br w:val="nil"/>
              <w:tr2bl w:val="nil"/>
            </w:tcBorders>
            <w:shd w:val="clear" w:color="auto" w:fill="auto"/>
            <w:vAlign w:val="center"/>
          </w:tcPr>
          <w:p w14:paraId="0F8B7430">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行政备案</w:t>
            </w:r>
          </w:p>
        </w:tc>
        <w:tc>
          <w:tcPr>
            <w:tcW w:w="1134" w:type="dxa"/>
            <w:tcBorders>
              <w:tl2br w:val="nil"/>
              <w:tr2bl w:val="nil"/>
            </w:tcBorders>
            <w:shd w:val="clear" w:color="auto" w:fill="auto"/>
            <w:vAlign w:val="center"/>
          </w:tcPr>
          <w:p w14:paraId="296BF5C1">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招标人对已发出的招标的招标文件进行必要的澄清或者修改的备案</w:t>
            </w:r>
          </w:p>
        </w:tc>
        <w:tc>
          <w:tcPr>
            <w:tcW w:w="3118" w:type="dxa"/>
            <w:tcBorders>
              <w:tl2br w:val="nil"/>
              <w:tr2bl w:val="nil"/>
            </w:tcBorders>
            <w:shd w:val="clear" w:color="auto" w:fill="auto"/>
            <w:vAlign w:val="center"/>
          </w:tcPr>
          <w:p w14:paraId="785935FF">
            <w:pPr>
              <w:widowControl/>
              <w:spacing w:line="24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1.《中华人民共和国招标投标法》（主席令第21号）第十九条 招标人应当根据招标项目的特点和需要编制招标文件。招标文件应当包括招标项目的技术要求、对投标人资格审查的标准、投标报价要求和评标标准等所有实质性要求和条件以及拟签订合同的主要条款。国家对招标项目的技术、标准有规定的，招标人应当按照其规定在招标文件中提出相应要求。招标项目需要划分标段、确定工期的，招标人应当合理划分标段、确定工期，并在招标文件中载明。</w:t>
            </w:r>
          </w:p>
          <w:p w14:paraId="1466CA8F">
            <w:pPr>
              <w:widowControl/>
              <w:spacing w:line="24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2.《房屋建筑和市政基础设施工程施工招标投标管理办法》（建设部令第89号）第十八条 依法必须进行施工招标的工程，招标人应当在招标文件发出的同时，将招标文件报工程所在地的县级以上地方人民政府建设行政主管部门备案，但实施电子招标投标的项目除外。建设行政主管部门发现招标文件有违反法律、法规内容的，应当责令招标人改正。第十九条 招标人对已发出的招标文件进行必要的澄清或者修改的，应当在招标文件要求提交投标文件截止时间至少15日前，以书面形式通知所有招标文件收受人，并同时报工程所在地的县级以上地方人民政府建设行政主管部门备案，但实施电子招标投标的项目除外。该澄清或者修改的内容为招标文件的组成部分。</w:t>
            </w:r>
          </w:p>
          <w:p w14:paraId="5C6032B0">
            <w:pPr>
              <w:widowControl/>
              <w:spacing w:line="240" w:lineRule="exact"/>
              <w:jc w:val="left"/>
              <w:textAlignment w:val="center"/>
              <w:rPr>
                <w:rFonts w:ascii="仿宋_GB2312" w:hAnsi="仿宋_GB2312" w:eastAsia="仿宋_GB2312" w:cs="仿宋_GB2312"/>
                <w:color w:val="FF0000"/>
                <w:sz w:val="18"/>
                <w:szCs w:val="18"/>
              </w:rPr>
            </w:pPr>
            <w:r>
              <w:rPr>
                <w:rFonts w:hint="eastAsia" w:ascii="仿宋_GB2312" w:hAnsi="仿宋_GB2312" w:eastAsia="仿宋_GB2312" w:cs="仿宋_GB2312"/>
                <w:kern w:val="0"/>
                <w:sz w:val="18"/>
                <w:szCs w:val="18"/>
              </w:rPr>
              <w:t>3.《河北省建筑条例》（河北省第十届人民代表大会常务委员会公告第22号）第十四条 招标人在发出招标文件的同时，应当将招标文件报工程所在地县级以上人民政府建设行政主管部门备案。</w:t>
            </w:r>
          </w:p>
        </w:tc>
        <w:tc>
          <w:tcPr>
            <w:tcW w:w="1315" w:type="dxa"/>
            <w:tcBorders>
              <w:tl2br w:val="nil"/>
              <w:tr2bl w:val="nil"/>
            </w:tcBorders>
            <w:shd w:val="clear" w:color="auto" w:fill="auto"/>
            <w:vAlign w:val="center"/>
          </w:tcPr>
          <w:p w14:paraId="7F2500B9">
            <w:pPr>
              <w:jc w:val="center"/>
            </w:pPr>
            <w:r>
              <w:rPr>
                <w:rFonts w:hint="eastAsia" w:ascii="仿宋_GB2312" w:hAnsi="仿宋_GB2312" w:eastAsia="仿宋_GB2312" w:cs="仿宋_GB2312"/>
                <w:color w:val="000000"/>
                <w:kern w:val="0"/>
                <w:sz w:val="18"/>
                <w:szCs w:val="18"/>
              </w:rPr>
              <w:t>山海关区住建局</w:t>
            </w:r>
          </w:p>
        </w:tc>
        <w:tc>
          <w:tcPr>
            <w:tcW w:w="3785" w:type="dxa"/>
            <w:tcBorders>
              <w:tl2br w:val="nil"/>
              <w:tr2bl w:val="nil"/>
            </w:tcBorders>
            <w:shd w:val="clear" w:color="auto" w:fill="auto"/>
            <w:vAlign w:val="center"/>
          </w:tcPr>
          <w:p w14:paraId="1024E7D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受理责任：申请人提交符合法定要求的招标文件，即提交备案申请；申请资料齐全、符合法定要求的，应当受理申请；申请资料不齐全或者不符合法定要求的，应当告知申请人需要补正的全部内容；不得要求申请人提交无关的材料；不符合条件的，不予受理。</w:t>
            </w:r>
          </w:p>
          <w:p w14:paraId="436715E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2.审查责任：符合法定备案要求的，核准后予以备案。不符合法定备案要求的，打回并说明原因。</w:t>
            </w:r>
          </w:p>
          <w:p w14:paraId="2DADBA3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3.其他法律法规规章文件规定应履行的责任。</w:t>
            </w:r>
          </w:p>
        </w:tc>
        <w:tc>
          <w:tcPr>
            <w:tcW w:w="3402" w:type="dxa"/>
            <w:tcBorders>
              <w:tl2br w:val="nil"/>
              <w:tr2bl w:val="nil"/>
            </w:tcBorders>
            <w:shd w:val="clear" w:color="auto" w:fill="auto"/>
            <w:vAlign w:val="center"/>
          </w:tcPr>
          <w:p w14:paraId="6C4FAF19">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p>
          <w:p w14:paraId="652F8FA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1.对符合备案受理条件而不予备案的；</w:t>
            </w:r>
          </w:p>
          <w:p w14:paraId="500AE1E3">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2.对不符合条件规定的备案申请予以受理的；</w:t>
            </w:r>
          </w:p>
          <w:p w14:paraId="7E814C7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3.擅自取消或停止备案的；</w:t>
            </w:r>
          </w:p>
          <w:p w14:paraId="6A285E7F">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4.在办理备案或变更备案时，变相收取费用的；</w:t>
            </w:r>
          </w:p>
          <w:p w14:paraId="5D3C421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5.在备案中玩忽职守、滥用职权的；</w:t>
            </w:r>
          </w:p>
          <w:p w14:paraId="37D4537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6.在备案中发生腐败行为的；</w:t>
            </w:r>
          </w:p>
          <w:p w14:paraId="77B90E68">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7.其他违反法律法规规章文件规定的行为。</w:t>
            </w:r>
          </w:p>
        </w:tc>
        <w:tc>
          <w:tcPr>
            <w:tcW w:w="567" w:type="dxa"/>
            <w:tcBorders>
              <w:tl2br w:val="nil"/>
              <w:tr2bl w:val="nil"/>
            </w:tcBorders>
            <w:shd w:val="clear" w:color="auto" w:fill="auto"/>
            <w:vAlign w:val="center"/>
          </w:tcPr>
          <w:p w14:paraId="5FFB2E7E">
            <w:pPr>
              <w:spacing w:line="240" w:lineRule="exact"/>
              <w:jc w:val="center"/>
              <w:rPr>
                <w:rFonts w:ascii="仿宋_GB2312" w:hAnsi="仿宋_GB2312" w:eastAsia="仿宋_GB2312" w:cs="仿宋_GB2312"/>
                <w:color w:val="000000"/>
                <w:sz w:val="18"/>
                <w:szCs w:val="18"/>
              </w:rPr>
            </w:pPr>
          </w:p>
        </w:tc>
      </w:tr>
      <w:tr w14:paraId="7D4814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E8FCB9F">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7</w:t>
            </w:r>
          </w:p>
        </w:tc>
        <w:tc>
          <w:tcPr>
            <w:tcW w:w="850" w:type="dxa"/>
            <w:tcBorders>
              <w:tl2br w:val="nil"/>
              <w:tr2bl w:val="nil"/>
            </w:tcBorders>
            <w:shd w:val="clear" w:color="auto" w:fill="auto"/>
            <w:vAlign w:val="center"/>
          </w:tcPr>
          <w:p w14:paraId="71C0148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行政备案</w:t>
            </w:r>
          </w:p>
        </w:tc>
        <w:tc>
          <w:tcPr>
            <w:tcW w:w="1134" w:type="dxa"/>
            <w:tcBorders>
              <w:tl2br w:val="nil"/>
              <w:tr2bl w:val="nil"/>
            </w:tcBorders>
            <w:shd w:val="clear" w:color="auto" w:fill="auto"/>
            <w:vAlign w:val="center"/>
          </w:tcPr>
          <w:p w14:paraId="2D44B1BA">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房地产开发项目备案</w:t>
            </w:r>
          </w:p>
        </w:tc>
        <w:tc>
          <w:tcPr>
            <w:tcW w:w="3118" w:type="dxa"/>
            <w:tcBorders>
              <w:tl2br w:val="nil"/>
              <w:tr2bl w:val="nil"/>
            </w:tcBorders>
            <w:shd w:val="clear" w:color="auto" w:fill="auto"/>
            <w:vAlign w:val="center"/>
          </w:tcPr>
          <w:p w14:paraId="3D8DC82A">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1.《城市房地产开发经营管理条例》第十八条 房地产开发企业应当将房地产开发项目建设过程中的主要事项记录在房地产开发项目手册中，并定期送房地产开发主管部门备案。</w:t>
            </w:r>
          </w:p>
          <w:p w14:paraId="442970A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2.《河北省城市房地产开发经营管理规定》第十四条 房地产开发企业应当按规定将房地产开发项目建设过程中的下列事项如实记录在房地产开发项目手册中，并分别于每年的6月底和12月底前送房地产开发主管部门备案：（一）项目的性质、规模和开发期限；（二）经批准的规划设计方案；（三）资本金到位和开发建设投资完成情况；（四）拆迁补偿安置情况；（五）开工日期和建设进度情况；（六）按规定应当记录的其他事项。</w:t>
            </w:r>
          </w:p>
        </w:tc>
        <w:tc>
          <w:tcPr>
            <w:tcW w:w="1315" w:type="dxa"/>
            <w:tcBorders>
              <w:tl2br w:val="nil"/>
              <w:tr2bl w:val="nil"/>
            </w:tcBorders>
            <w:shd w:val="clear" w:color="auto" w:fill="auto"/>
            <w:vAlign w:val="center"/>
          </w:tcPr>
          <w:p w14:paraId="43D6F459">
            <w:pPr>
              <w:jc w:val="center"/>
            </w:pPr>
            <w:r>
              <w:rPr>
                <w:rFonts w:hint="eastAsia" w:ascii="仿宋_GB2312" w:hAnsi="仿宋_GB2312" w:eastAsia="仿宋_GB2312" w:cs="仿宋_GB2312"/>
                <w:color w:val="000000"/>
                <w:kern w:val="0"/>
                <w:sz w:val="18"/>
                <w:szCs w:val="18"/>
              </w:rPr>
              <w:t>山海关区住建局</w:t>
            </w:r>
          </w:p>
        </w:tc>
        <w:tc>
          <w:tcPr>
            <w:tcW w:w="3785" w:type="dxa"/>
            <w:tcBorders>
              <w:tl2br w:val="nil"/>
              <w:tr2bl w:val="nil"/>
            </w:tcBorders>
            <w:shd w:val="clear" w:color="auto" w:fill="auto"/>
            <w:vAlign w:val="center"/>
          </w:tcPr>
          <w:p w14:paraId="3880BBA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1.受理环节责任：查验申请材料，材料不完整的，应当一次性告知申请人需要补正的全部材料；收到申请人提交的全部补正材料后，应当作出受理或者不予受理的决定，不予受理的，应当告知理由。</w:t>
            </w:r>
          </w:p>
          <w:p w14:paraId="443E4BC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2.审查阶段责任：材料审核，提出审查意见。</w:t>
            </w:r>
          </w:p>
          <w:p w14:paraId="16BA430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3.其他法律法规规章规定的应履行的责任。</w:t>
            </w:r>
          </w:p>
        </w:tc>
        <w:tc>
          <w:tcPr>
            <w:tcW w:w="3402" w:type="dxa"/>
            <w:tcBorders>
              <w:tl2br w:val="nil"/>
              <w:tr2bl w:val="nil"/>
            </w:tcBorders>
            <w:shd w:val="clear" w:color="auto" w:fill="auto"/>
            <w:vAlign w:val="center"/>
          </w:tcPr>
          <w:p w14:paraId="46BEB18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p>
          <w:p w14:paraId="6E2E1AA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1.符合申报条件不予受理、不予办理的；</w:t>
            </w:r>
          </w:p>
          <w:p w14:paraId="0FE26E3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2.不符合申报条件予以受理、办理的；</w:t>
            </w:r>
          </w:p>
          <w:p w14:paraId="77C2ECC5">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3.执法人员玩忽职守、滥用职权、循私舞弊的；</w:t>
            </w:r>
          </w:p>
          <w:p w14:paraId="3772B69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4.其他违反法律法规规章规定的行为。</w:t>
            </w:r>
          </w:p>
        </w:tc>
        <w:tc>
          <w:tcPr>
            <w:tcW w:w="567" w:type="dxa"/>
            <w:tcBorders>
              <w:tl2br w:val="nil"/>
              <w:tr2bl w:val="nil"/>
            </w:tcBorders>
            <w:shd w:val="clear" w:color="auto" w:fill="auto"/>
            <w:vAlign w:val="center"/>
          </w:tcPr>
          <w:p w14:paraId="7EFEB674">
            <w:pPr>
              <w:spacing w:line="240" w:lineRule="exact"/>
              <w:jc w:val="center"/>
              <w:rPr>
                <w:rFonts w:ascii="仿宋_GB2312" w:hAnsi="仿宋_GB2312" w:eastAsia="仿宋_GB2312" w:cs="仿宋_GB2312"/>
                <w:color w:val="000000"/>
                <w:sz w:val="18"/>
                <w:szCs w:val="18"/>
              </w:rPr>
            </w:pPr>
          </w:p>
        </w:tc>
      </w:tr>
      <w:tr w14:paraId="251863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583AF4F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8</w:t>
            </w:r>
          </w:p>
        </w:tc>
        <w:tc>
          <w:tcPr>
            <w:tcW w:w="850" w:type="dxa"/>
            <w:tcBorders>
              <w:tl2br w:val="nil"/>
              <w:tr2bl w:val="nil"/>
            </w:tcBorders>
            <w:shd w:val="clear" w:color="auto" w:fill="auto"/>
            <w:vAlign w:val="center"/>
          </w:tcPr>
          <w:p w14:paraId="6262F9B0">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行政备案</w:t>
            </w:r>
          </w:p>
        </w:tc>
        <w:tc>
          <w:tcPr>
            <w:tcW w:w="1134" w:type="dxa"/>
            <w:tcBorders>
              <w:tl2br w:val="nil"/>
              <w:tr2bl w:val="nil"/>
            </w:tcBorders>
            <w:shd w:val="clear" w:color="auto" w:fill="auto"/>
            <w:vAlign w:val="center"/>
          </w:tcPr>
          <w:p w14:paraId="44D60C5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招标人自行办理招标备案</w:t>
            </w:r>
          </w:p>
        </w:tc>
        <w:tc>
          <w:tcPr>
            <w:tcW w:w="3118" w:type="dxa"/>
            <w:tcBorders>
              <w:tl2br w:val="nil"/>
              <w:tr2bl w:val="nil"/>
            </w:tcBorders>
            <w:shd w:val="clear" w:color="auto" w:fill="auto"/>
            <w:vAlign w:val="center"/>
          </w:tcPr>
          <w:p w14:paraId="2C07D9C4">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1.《中华人民共和国招标投标法》（主席令第21号）第十二条 依法必须进行招标的项目，招标人自行办理招标事宜的，应当向有关行政监督部门备案。</w:t>
            </w:r>
          </w:p>
          <w:p w14:paraId="4A5907E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2.《房屋建筑和市政基础设施工程施工招标投标管理办法》（建设部令第89号）第十一条 依法必须进行施工招标的工程，招标人自行办理施工招标事宜的，应当具有编制招标文件和组织评标的能力。</w:t>
            </w:r>
          </w:p>
          <w:p w14:paraId="08B9956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3.《河北省实施＜中华人民共和国招标投标法＞办法》（省九届人大公告第54号）第十二条 依法必须进行招标的项目，招标人自行办理招标事宜的，应当向有关行政监督部门备案。</w:t>
            </w:r>
          </w:p>
        </w:tc>
        <w:tc>
          <w:tcPr>
            <w:tcW w:w="1315" w:type="dxa"/>
            <w:tcBorders>
              <w:tl2br w:val="nil"/>
              <w:tr2bl w:val="nil"/>
            </w:tcBorders>
            <w:shd w:val="clear" w:color="auto" w:fill="auto"/>
            <w:vAlign w:val="center"/>
          </w:tcPr>
          <w:p w14:paraId="694A6453">
            <w:pPr>
              <w:jc w:val="center"/>
            </w:pPr>
            <w:r>
              <w:rPr>
                <w:rFonts w:hint="eastAsia" w:ascii="仿宋_GB2312" w:hAnsi="仿宋_GB2312" w:eastAsia="仿宋_GB2312" w:cs="仿宋_GB2312"/>
                <w:color w:val="000000"/>
                <w:kern w:val="0"/>
                <w:sz w:val="18"/>
                <w:szCs w:val="18"/>
              </w:rPr>
              <w:t>山海关区住建局</w:t>
            </w:r>
          </w:p>
        </w:tc>
        <w:tc>
          <w:tcPr>
            <w:tcW w:w="3785" w:type="dxa"/>
            <w:tcBorders>
              <w:tl2br w:val="nil"/>
              <w:tr2bl w:val="nil"/>
            </w:tcBorders>
            <w:shd w:val="clear" w:color="auto" w:fill="auto"/>
            <w:vAlign w:val="center"/>
          </w:tcPr>
          <w:p w14:paraId="77A4D0F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受理责任：申请人提交符合法定要求的备案资料，即提交备案申请。申请资料齐全、符合法定要求的，应当受理申请；申请资料不齐全或者不符合法定要求的，应当告知申请人需要补正的全部内容；不得要求申请人提交无关的材料；不符合条件的，不予受理。</w:t>
            </w:r>
          </w:p>
          <w:p w14:paraId="15D06829">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2.审查责任：符合法定备案要求的，核准后予以备案。不符合法定备案要求的，打回并说明原因。</w:t>
            </w:r>
          </w:p>
          <w:p w14:paraId="3A69DA4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3.其他法律法规规章文件规定应履行的责任。</w:t>
            </w:r>
          </w:p>
        </w:tc>
        <w:tc>
          <w:tcPr>
            <w:tcW w:w="3402" w:type="dxa"/>
            <w:tcBorders>
              <w:tl2br w:val="nil"/>
              <w:tr2bl w:val="nil"/>
            </w:tcBorders>
            <w:shd w:val="clear" w:color="auto" w:fill="auto"/>
            <w:vAlign w:val="center"/>
          </w:tcPr>
          <w:p w14:paraId="15BB6F20">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p>
          <w:p w14:paraId="0B91B786">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1.对符合备案受理条件而不予备案的；</w:t>
            </w:r>
          </w:p>
          <w:p w14:paraId="283EE267">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2.对不符合条件规定的备案申请予以受理的；</w:t>
            </w:r>
          </w:p>
          <w:p w14:paraId="63CB94C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3.擅自取消或停止备案的；</w:t>
            </w:r>
          </w:p>
          <w:p w14:paraId="764349A1">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4.在办理备案或变更备案时，变相收取费用的；</w:t>
            </w:r>
          </w:p>
          <w:p w14:paraId="7551764A">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5.在备案中玩忽职守、滥用职权的；</w:t>
            </w:r>
          </w:p>
          <w:p w14:paraId="3BFE2FC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6.在备案中发生腐败行为的；</w:t>
            </w:r>
          </w:p>
          <w:p w14:paraId="2A76DE3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7.其他违反法律法规规章文件规定的行为。</w:t>
            </w:r>
          </w:p>
        </w:tc>
        <w:tc>
          <w:tcPr>
            <w:tcW w:w="567" w:type="dxa"/>
            <w:tcBorders>
              <w:tl2br w:val="nil"/>
              <w:tr2bl w:val="nil"/>
            </w:tcBorders>
            <w:shd w:val="clear" w:color="auto" w:fill="auto"/>
            <w:vAlign w:val="center"/>
          </w:tcPr>
          <w:p w14:paraId="401C44DD">
            <w:pPr>
              <w:spacing w:line="240" w:lineRule="exact"/>
              <w:jc w:val="center"/>
              <w:rPr>
                <w:rFonts w:ascii="仿宋_GB2312" w:hAnsi="仿宋_GB2312" w:eastAsia="仿宋_GB2312" w:cs="仿宋_GB2312"/>
                <w:color w:val="000000"/>
                <w:sz w:val="18"/>
                <w:szCs w:val="18"/>
              </w:rPr>
            </w:pPr>
          </w:p>
        </w:tc>
      </w:tr>
      <w:tr w14:paraId="3765BD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630EF523">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9</w:t>
            </w:r>
          </w:p>
        </w:tc>
        <w:tc>
          <w:tcPr>
            <w:tcW w:w="850" w:type="dxa"/>
            <w:tcBorders>
              <w:tl2br w:val="nil"/>
              <w:tr2bl w:val="nil"/>
            </w:tcBorders>
            <w:shd w:val="clear" w:color="auto" w:fill="auto"/>
            <w:vAlign w:val="center"/>
          </w:tcPr>
          <w:p w14:paraId="6312521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行政备案</w:t>
            </w:r>
          </w:p>
        </w:tc>
        <w:tc>
          <w:tcPr>
            <w:tcW w:w="1134" w:type="dxa"/>
            <w:tcBorders>
              <w:tl2br w:val="nil"/>
              <w:tr2bl w:val="nil"/>
            </w:tcBorders>
            <w:shd w:val="clear" w:color="auto" w:fill="auto"/>
            <w:vAlign w:val="center"/>
          </w:tcPr>
          <w:p w14:paraId="1EA3C49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施工图设计文件审查备案</w:t>
            </w:r>
          </w:p>
        </w:tc>
        <w:tc>
          <w:tcPr>
            <w:tcW w:w="3118" w:type="dxa"/>
            <w:tcBorders>
              <w:tl2br w:val="nil"/>
              <w:tr2bl w:val="nil"/>
            </w:tcBorders>
            <w:shd w:val="clear" w:color="auto" w:fill="auto"/>
            <w:vAlign w:val="center"/>
          </w:tcPr>
          <w:p w14:paraId="734420C1">
            <w:pPr>
              <w:widowControl/>
              <w:spacing w:line="240" w:lineRule="exact"/>
              <w:jc w:val="left"/>
              <w:textAlignment w:val="center"/>
              <w:rPr>
                <w:rFonts w:ascii="仿宋_GB2312" w:hAnsi="仿宋_GB2312" w:eastAsia="仿宋_GB2312" w:cs="仿宋_GB2312"/>
                <w:color w:val="FF0000"/>
                <w:sz w:val="18"/>
                <w:szCs w:val="18"/>
              </w:rPr>
            </w:pPr>
            <w:r>
              <w:rPr>
                <w:rFonts w:hint="eastAsia" w:ascii="仿宋_GB2312" w:hAnsi="仿宋_GB2312" w:eastAsia="仿宋_GB2312" w:cs="仿宋_GB2312"/>
                <w:kern w:val="0"/>
                <w:sz w:val="18"/>
                <w:szCs w:val="18"/>
              </w:rPr>
              <w:t>《房屋建筑和市政基础设施工程施工图设计文件审查管理办法》（2013年4月27日住房和城乡建设部令第13号公布，根据2018年12月13日《住房和城乡建设部关于修改&lt;房屋建筑和市政基础设施工程施工图设计文件审查管理办法&gt;的决定》修正）第十三条 审查机构对施工图进行审查后，应当根据下列情况分别作出处理：（一）审查合格的，审查机构应当向建设单位出具审查合格书，并在全套施工图上加盖审查专用章。审查合格书应当有各专业的审查人员签字，经法定代表人签发，并加盖审查机构公章。审查机构应当在出具审查合格书后5个工作日内，将审查情况报工程所在地县级以上地方人民政府住房城乡建设主管部门备案。（二）审查不合格的，审查机构应当将施工图退建设单位并出具审查意见告知书，说明不合格原因。同时，应当将审查意见告知书及审查中发现的建设单位、勘察设计企业和注册执业人员违反法律、法规和工程建设强制性标准的问题，报工程所在地县级以上地方人民政府住房城乡建设主管部门。施工图退建设单位后，建设单位应当要求原勘察设计企业进行修改，并将修改后的施工图送原审查机构复审。</w:t>
            </w:r>
          </w:p>
        </w:tc>
        <w:tc>
          <w:tcPr>
            <w:tcW w:w="1315" w:type="dxa"/>
            <w:tcBorders>
              <w:tl2br w:val="nil"/>
              <w:tr2bl w:val="nil"/>
            </w:tcBorders>
            <w:shd w:val="clear" w:color="auto" w:fill="auto"/>
            <w:vAlign w:val="center"/>
          </w:tcPr>
          <w:p w14:paraId="4CD48864">
            <w:pPr>
              <w:jc w:val="center"/>
            </w:pPr>
            <w:r>
              <w:rPr>
                <w:rFonts w:hint="eastAsia" w:ascii="仿宋_GB2312" w:hAnsi="仿宋_GB2312" w:eastAsia="仿宋_GB2312" w:cs="仿宋_GB2312"/>
                <w:color w:val="000000"/>
                <w:kern w:val="0"/>
                <w:sz w:val="18"/>
                <w:szCs w:val="18"/>
              </w:rPr>
              <w:t>山海关区住建局</w:t>
            </w:r>
          </w:p>
        </w:tc>
        <w:tc>
          <w:tcPr>
            <w:tcW w:w="3785" w:type="dxa"/>
            <w:tcBorders>
              <w:tl2br w:val="nil"/>
              <w:tr2bl w:val="nil"/>
            </w:tcBorders>
            <w:shd w:val="clear" w:color="auto" w:fill="auto"/>
            <w:vAlign w:val="center"/>
          </w:tcPr>
          <w:p w14:paraId="59C5535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1.受理环节责任：查验申请材料，材料不完整的，应当一次性告知申请人需要补正的全部材料；收到申请人提交的全部补正材料后，应当作出受理或者不予受理的决定，不予受理的，应当告知理由。</w:t>
            </w:r>
          </w:p>
          <w:p w14:paraId="374D8B0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2.审查环节责任：对申请人提交的备案材料进行审查，符合备案条件的，予以备案，不符合条件的，不予以备案，并告知理由。</w:t>
            </w:r>
          </w:p>
          <w:p w14:paraId="27F7D80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3.备案环节责任：符合条件应及时办理告知手续。</w:t>
            </w:r>
          </w:p>
          <w:p w14:paraId="028D716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4.其他法律法规规章规定的应履行的责任。</w:t>
            </w:r>
          </w:p>
        </w:tc>
        <w:tc>
          <w:tcPr>
            <w:tcW w:w="3402" w:type="dxa"/>
            <w:tcBorders>
              <w:tl2br w:val="nil"/>
              <w:tr2bl w:val="nil"/>
            </w:tcBorders>
            <w:shd w:val="clear" w:color="auto" w:fill="auto"/>
            <w:vAlign w:val="center"/>
          </w:tcPr>
          <w:p w14:paraId="1A0695E1">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p>
          <w:p w14:paraId="434CD13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1.符合申报条件不予受理、不予办理的；</w:t>
            </w:r>
          </w:p>
          <w:p w14:paraId="2C19737A">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2.不符合申报条件予以受理、办理的；</w:t>
            </w:r>
          </w:p>
          <w:p w14:paraId="6D16AE23">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3.执法人员玩忽职守、滥用职权、循私舞弊的；</w:t>
            </w:r>
          </w:p>
          <w:p w14:paraId="20C201B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4.其他违反法律法规规章规定的行为。</w:t>
            </w:r>
          </w:p>
        </w:tc>
        <w:tc>
          <w:tcPr>
            <w:tcW w:w="567" w:type="dxa"/>
            <w:tcBorders>
              <w:tl2br w:val="nil"/>
              <w:tr2bl w:val="nil"/>
            </w:tcBorders>
            <w:shd w:val="clear" w:color="auto" w:fill="auto"/>
            <w:vAlign w:val="center"/>
          </w:tcPr>
          <w:p w14:paraId="7B2D39CE">
            <w:pPr>
              <w:spacing w:line="240" w:lineRule="exact"/>
              <w:jc w:val="center"/>
              <w:rPr>
                <w:rFonts w:ascii="仿宋_GB2312" w:hAnsi="仿宋_GB2312" w:eastAsia="仿宋_GB2312" w:cs="仿宋_GB2312"/>
                <w:color w:val="000000"/>
                <w:sz w:val="18"/>
                <w:szCs w:val="18"/>
              </w:rPr>
            </w:pPr>
          </w:p>
        </w:tc>
      </w:tr>
      <w:tr w14:paraId="4DB6B6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1464F0D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10</w:t>
            </w:r>
          </w:p>
        </w:tc>
        <w:tc>
          <w:tcPr>
            <w:tcW w:w="850" w:type="dxa"/>
            <w:tcBorders>
              <w:tl2br w:val="nil"/>
              <w:tr2bl w:val="nil"/>
            </w:tcBorders>
            <w:shd w:val="clear" w:color="auto" w:fill="auto"/>
            <w:vAlign w:val="center"/>
          </w:tcPr>
          <w:p w14:paraId="523C163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行政备案</w:t>
            </w:r>
          </w:p>
        </w:tc>
        <w:tc>
          <w:tcPr>
            <w:tcW w:w="1134" w:type="dxa"/>
            <w:tcBorders>
              <w:tl2br w:val="nil"/>
              <w:tr2bl w:val="nil"/>
            </w:tcBorders>
            <w:shd w:val="clear" w:color="auto" w:fill="auto"/>
            <w:vAlign w:val="center"/>
          </w:tcPr>
          <w:p w14:paraId="77F4BEA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施工扬尘备案</w:t>
            </w:r>
          </w:p>
        </w:tc>
        <w:tc>
          <w:tcPr>
            <w:tcW w:w="3118" w:type="dxa"/>
            <w:tcBorders>
              <w:tl2br w:val="nil"/>
              <w:tr2bl w:val="nil"/>
            </w:tcBorders>
            <w:shd w:val="clear" w:color="auto" w:fill="auto"/>
            <w:vAlign w:val="center"/>
          </w:tcPr>
          <w:p w14:paraId="552CBD7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1.《中华人民共和国大气污染防治法》第六十九条 从事房屋建筑、市政基础设施建设、河道整治以及建筑物拆除等施工单位，应当向负责监督管理扬尘污染防治的主管部门备案。</w:t>
            </w:r>
          </w:p>
          <w:p w14:paraId="07299E3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2.《河北省大气污染防治条例》第三十七条 从事各类工程建设等施工活动以及物料运输、堆放和其他产生扬尘污染物的建设单位和施工单位，应当向所在地人民政府负责监督管理扬尘污染防治的主管部门备案，并采取措施防止产生扬尘污染。</w:t>
            </w:r>
          </w:p>
        </w:tc>
        <w:tc>
          <w:tcPr>
            <w:tcW w:w="1315" w:type="dxa"/>
            <w:tcBorders>
              <w:tl2br w:val="nil"/>
              <w:tr2bl w:val="nil"/>
            </w:tcBorders>
            <w:shd w:val="clear" w:color="auto" w:fill="auto"/>
            <w:vAlign w:val="center"/>
          </w:tcPr>
          <w:p w14:paraId="4F8B320B">
            <w:pPr>
              <w:jc w:val="center"/>
            </w:pPr>
            <w:r>
              <w:rPr>
                <w:rFonts w:hint="eastAsia" w:ascii="仿宋_GB2312" w:hAnsi="仿宋_GB2312" w:eastAsia="仿宋_GB2312" w:cs="仿宋_GB2312"/>
                <w:color w:val="000000"/>
                <w:kern w:val="0"/>
                <w:sz w:val="18"/>
                <w:szCs w:val="18"/>
              </w:rPr>
              <w:t>山海关区住建局</w:t>
            </w:r>
          </w:p>
        </w:tc>
        <w:tc>
          <w:tcPr>
            <w:tcW w:w="3785" w:type="dxa"/>
            <w:tcBorders>
              <w:tl2br w:val="nil"/>
              <w:tr2bl w:val="nil"/>
            </w:tcBorders>
            <w:shd w:val="clear" w:color="auto" w:fill="auto"/>
            <w:vAlign w:val="center"/>
          </w:tcPr>
          <w:p w14:paraId="02028BC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1.受理责任:依法应当提交的材料;一次性告知补正材料;依法受理或不予受理扬尘治理实施方案。</w:t>
            </w:r>
          </w:p>
          <w:p w14:paraId="73253F54">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2.审查责任:审核扬尘治理实施方案，符合要求的，组织有关人员对建筑施工工地等进行现场检查；现场检查符合要求的，纳入日常监管。</w:t>
            </w:r>
          </w:p>
          <w:p w14:paraId="0AC41376">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3.决定责任:做出申请人是否通过确认的决定；不符合要求的，应当书面通知申请人。</w:t>
            </w:r>
          </w:p>
          <w:p w14:paraId="7FD664AA">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4.送达责任:通过确认的，予以备案。</w:t>
            </w:r>
          </w:p>
          <w:p w14:paraId="2C8D4193">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5.事后监管责任:对已备案的进行日常监督检查，并根据检查情况作出警告、责令改正或处罚的决定。</w:t>
            </w:r>
          </w:p>
          <w:p w14:paraId="575231A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6.其他法律法规规章文件规定应履行的责任。</w:t>
            </w:r>
          </w:p>
        </w:tc>
        <w:tc>
          <w:tcPr>
            <w:tcW w:w="3402" w:type="dxa"/>
            <w:tcBorders>
              <w:tl2br w:val="nil"/>
              <w:tr2bl w:val="nil"/>
            </w:tcBorders>
            <w:shd w:val="clear" w:color="auto" w:fill="auto"/>
            <w:vAlign w:val="center"/>
          </w:tcPr>
          <w:p w14:paraId="2874D40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p>
          <w:p w14:paraId="12D69F3F">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1.对符合受理条件的行政认定申请不予受理的；</w:t>
            </w:r>
          </w:p>
          <w:p w14:paraId="01B6DE93">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2.未严格按照相关政策、法律、法规履行审查义务，对应当予以认定的不予认定，或者对不应认定的予以认定；</w:t>
            </w:r>
          </w:p>
          <w:p w14:paraId="6ED33C57">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3.不依法履行监督职责或者监督不力；</w:t>
            </w:r>
          </w:p>
          <w:p w14:paraId="5461B20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4.从事监督检查的工作人员滥用职权、徇私舞弊、玩忽职守的；</w:t>
            </w:r>
          </w:p>
          <w:p w14:paraId="54A91D6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5.从事监督检查的工作人员索贿、受贿，谋取不正当利益的；</w:t>
            </w:r>
          </w:p>
          <w:p w14:paraId="06E4FB2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6.其他违反法律法规规章文件规定的行为。</w:t>
            </w:r>
          </w:p>
        </w:tc>
        <w:tc>
          <w:tcPr>
            <w:tcW w:w="567" w:type="dxa"/>
            <w:tcBorders>
              <w:tl2br w:val="nil"/>
              <w:tr2bl w:val="nil"/>
            </w:tcBorders>
            <w:shd w:val="clear" w:color="auto" w:fill="auto"/>
            <w:vAlign w:val="center"/>
          </w:tcPr>
          <w:p w14:paraId="7CE7C84B">
            <w:pPr>
              <w:spacing w:line="240" w:lineRule="exact"/>
              <w:jc w:val="center"/>
              <w:rPr>
                <w:rFonts w:ascii="仿宋_GB2312" w:hAnsi="仿宋_GB2312" w:eastAsia="仿宋_GB2312" w:cs="仿宋_GB2312"/>
                <w:color w:val="000000"/>
                <w:sz w:val="18"/>
                <w:szCs w:val="18"/>
              </w:rPr>
            </w:pPr>
          </w:p>
        </w:tc>
      </w:tr>
      <w:tr w14:paraId="6878EA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3002CAFC">
            <w:pPr>
              <w:widowControl/>
              <w:spacing w:line="240" w:lineRule="exact"/>
              <w:jc w:val="center"/>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11</w:t>
            </w:r>
          </w:p>
        </w:tc>
        <w:tc>
          <w:tcPr>
            <w:tcW w:w="850" w:type="dxa"/>
            <w:tcBorders>
              <w:tl2br w:val="nil"/>
              <w:tr2bl w:val="nil"/>
            </w:tcBorders>
            <w:shd w:val="clear" w:color="auto" w:fill="auto"/>
            <w:vAlign w:val="center"/>
          </w:tcPr>
          <w:p w14:paraId="55840D7C">
            <w:pPr>
              <w:widowControl/>
              <w:spacing w:line="240" w:lineRule="exact"/>
              <w:jc w:val="center"/>
              <w:textAlignment w:val="center"/>
              <w:rPr>
                <w:rFonts w:ascii="仿宋_GB2312" w:hAnsi="宋体" w:eastAsia="仿宋_GB2312" w:cs="仿宋_GB2312"/>
                <w:color w:val="000000"/>
                <w:kern w:val="0"/>
                <w:sz w:val="18"/>
                <w:szCs w:val="18"/>
              </w:rPr>
            </w:pPr>
            <w:r>
              <w:rPr>
                <w:rFonts w:hint="eastAsia" w:ascii="仿宋_GB2312" w:hAnsi="仿宋_GB2312" w:eastAsia="仿宋_GB2312" w:cs="仿宋_GB2312"/>
                <w:color w:val="000000"/>
                <w:kern w:val="0"/>
                <w:sz w:val="18"/>
                <w:szCs w:val="18"/>
              </w:rPr>
              <w:t>行政备案</w:t>
            </w:r>
          </w:p>
        </w:tc>
        <w:tc>
          <w:tcPr>
            <w:tcW w:w="1134" w:type="dxa"/>
            <w:tcBorders>
              <w:tl2br w:val="nil"/>
              <w:tr2bl w:val="nil"/>
            </w:tcBorders>
            <w:shd w:val="clear" w:color="auto" w:fill="auto"/>
            <w:vAlign w:val="center"/>
          </w:tcPr>
          <w:p w14:paraId="71EB56CA">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租赁合同网签备案</w:t>
            </w:r>
          </w:p>
        </w:tc>
        <w:tc>
          <w:tcPr>
            <w:tcW w:w="3118" w:type="dxa"/>
            <w:tcBorders>
              <w:tl2br w:val="nil"/>
              <w:tr2bl w:val="nil"/>
            </w:tcBorders>
            <w:shd w:val="clear" w:color="auto" w:fill="auto"/>
            <w:vAlign w:val="center"/>
          </w:tcPr>
          <w:p w14:paraId="3EF38C8F">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1.《中华人民共和国城市房地产管理法》第五十四条 房屋租赁，出租人和承租人应当签订书面租赁合同，约定租赁期限、租赁用途、租赁价格、修缮责任等条款，以及双方的其他权利和义务，并向房产管理部门登记备案。</w:t>
            </w:r>
          </w:p>
          <w:p w14:paraId="67DDFAFD">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2.《住房城乡建设部关于进一步规范和加强房屋网签备案工作的指导意见》（建房〔2018〕128号）</w:t>
            </w:r>
          </w:p>
          <w:p w14:paraId="3F9108AF">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3.《住房和城乡建设部关于印发房屋交易合同网签备案业务规范（试行）的通知》（建房规〔2019〕5号）</w:t>
            </w:r>
          </w:p>
          <w:p w14:paraId="5C887D39">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4.《关于印发全国房屋网签备案业务数据标准的通知》（建办房[2020]14号）</w:t>
            </w:r>
          </w:p>
          <w:p w14:paraId="6FF6ABAE">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5.《秦皇岛市进一步规范和加强房屋网签备案工作的实施意见》（市政府办公室、2019年7月12日发）</w:t>
            </w:r>
          </w:p>
          <w:p w14:paraId="226446E9">
            <w:pPr>
              <w:widowControl/>
              <w:spacing w:line="240" w:lineRule="exact"/>
              <w:jc w:val="left"/>
              <w:textAlignment w:val="center"/>
              <w:rPr>
                <w:rFonts w:ascii="仿宋_GB2312" w:hAnsi="宋体" w:eastAsia="仿宋_GB2312" w:cs="仿宋_GB2312"/>
                <w:color w:val="000000"/>
                <w:kern w:val="0"/>
                <w:sz w:val="18"/>
                <w:szCs w:val="18"/>
              </w:rPr>
            </w:pPr>
          </w:p>
        </w:tc>
        <w:tc>
          <w:tcPr>
            <w:tcW w:w="1315" w:type="dxa"/>
            <w:tcBorders>
              <w:tl2br w:val="nil"/>
              <w:tr2bl w:val="nil"/>
            </w:tcBorders>
            <w:shd w:val="clear" w:color="auto" w:fill="auto"/>
            <w:vAlign w:val="center"/>
          </w:tcPr>
          <w:p w14:paraId="0704FCCC">
            <w:pPr>
              <w:jc w:val="center"/>
            </w:pPr>
            <w:r>
              <w:rPr>
                <w:rFonts w:hint="eastAsia" w:ascii="仿宋_GB2312" w:hAnsi="仿宋_GB2312" w:eastAsia="仿宋_GB2312" w:cs="仿宋_GB2312"/>
                <w:color w:val="000000"/>
                <w:kern w:val="0"/>
                <w:sz w:val="18"/>
                <w:szCs w:val="18"/>
              </w:rPr>
              <w:t>山海关区住建局</w:t>
            </w:r>
          </w:p>
        </w:tc>
        <w:tc>
          <w:tcPr>
            <w:tcW w:w="3785" w:type="dxa"/>
            <w:tcBorders>
              <w:tl2br w:val="nil"/>
              <w:tr2bl w:val="nil"/>
            </w:tcBorders>
            <w:shd w:val="clear" w:color="auto" w:fill="auto"/>
            <w:vAlign w:val="center"/>
          </w:tcPr>
          <w:p w14:paraId="21F90A9A">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1.受理责任:公示租赁网签备案流程及相关资料。</w:t>
            </w:r>
          </w:p>
          <w:p w14:paraId="20E4F7B3">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2.监管责任:维护租赁双方的合法权益。</w:t>
            </w:r>
          </w:p>
          <w:p w14:paraId="177A9A83">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3.其他法律法规规章文件规定应履行的责任。</w:t>
            </w:r>
          </w:p>
        </w:tc>
        <w:tc>
          <w:tcPr>
            <w:tcW w:w="3402" w:type="dxa"/>
            <w:tcBorders>
              <w:tl2br w:val="nil"/>
              <w:tr2bl w:val="nil"/>
            </w:tcBorders>
            <w:shd w:val="clear" w:color="auto" w:fill="auto"/>
            <w:vAlign w:val="center"/>
          </w:tcPr>
          <w:p w14:paraId="231D63DE">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color w:val="000000"/>
                <w:kern w:val="0"/>
                <w:sz w:val="18"/>
                <w:szCs w:val="18"/>
              </w:rPr>
              <w:t>因不履行或不正确履行行政职责，有下列情形的</w:t>
            </w:r>
            <w:r>
              <w:rPr>
                <w:rFonts w:hint="eastAsia" w:ascii="仿宋_GB2312" w:hAnsi="宋体" w:eastAsia="仿宋_GB2312" w:cs="仿宋_GB2312"/>
                <w:kern w:val="0"/>
                <w:sz w:val="18"/>
                <w:szCs w:val="18"/>
              </w:rPr>
              <w:t>，行政机关及相关工作人员应承担相应责任：</w:t>
            </w:r>
          </w:p>
          <w:p w14:paraId="6E111B0D">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1.在工作中玩忽职守、徇私舞弊的；</w:t>
            </w:r>
          </w:p>
          <w:p w14:paraId="20E158CB">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2.其他违反法律法规规章文件规定的行为；</w:t>
            </w:r>
          </w:p>
          <w:p w14:paraId="4CCE9501">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color w:val="000000"/>
                <w:kern w:val="0"/>
                <w:sz w:val="18"/>
                <w:szCs w:val="18"/>
              </w:rPr>
              <w:t>3.其他违反法律法规规章文件规定的行为。</w:t>
            </w:r>
          </w:p>
        </w:tc>
        <w:tc>
          <w:tcPr>
            <w:tcW w:w="567" w:type="dxa"/>
            <w:tcBorders>
              <w:tl2br w:val="nil"/>
              <w:tr2bl w:val="nil"/>
            </w:tcBorders>
            <w:shd w:val="clear" w:color="auto" w:fill="auto"/>
            <w:vAlign w:val="center"/>
          </w:tcPr>
          <w:p w14:paraId="20224349">
            <w:pPr>
              <w:spacing w:line="240" w:lineRule="exact"/>
              <w:jc w:val="center"/>
              <w:rPr>
                <w:rFonts w:ascii="仿宋_GB2312" w:hAnsi="仿宋_GB2312" w:eastAsia="仿宋_GB2312" w:cs="仿宋_GB2312"/>
                <w:color w:val="000000"/>
                <w:sz w:val="18"/>
                <w:szCs w:val="18"/>
              </w:rPr>
            </w:pPr>
          </w:p>
        </w:tc>
      </w:tr>
      <w:tr w14:paraId="08FC53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72EC8429">
            <w:pPr>
              <w:widowControl/>
              <w:spacing w:line="240" w:lineRule="exact"/>
              <w:jc w:val="center"/>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12</w:t>
            </w:r>
          </w:p>
        </w:tc>
        <w:tc>
          <w:tcPr>
            <w:tcW w:w="850" w:type="dxa"/>
            <w:tcBorders>
              <w:tl2br w:val="nil"/>
              <w:tr2bl w:val="nil"/>
            </w:tcBorders>
            <w:shd w:val="clear" w:color="auto" w:fill="auto"/>
            <w:vAlign w:val="center"/>
          </w:tcPr>
          <w:p w14:paraId="6DA7E7C7">
            <w:pPr>
              <w:widowControl/>
              <w:spacing w:line="240" w:lineRule="exact"/>
              <w:jc w:val="center"/>
              <w:textAlignment w:val="center"/>
              <w:rPr>
                <w:rFonts w:ascii="仿宋_GB2312" w:hAnsi="宋体" w:eastAsia="仿宋_GB2312" w:cs="仿宋_GB2312"/>
                <w:color w:val="000000"/>
                <w:kern w:val="0"/>
                <w:sz w:val="18"/>
                <w:szCs w:val="18"/>
              </w:rPr>
            </w:pPr>
            <w:r>
              <w:rPr>
                <w:rFonts w:hint="eastAsia" w:ascii="仿宋_GB2312" w:hAnsi="仿宋_GB2312" w:eastAsia="仿宋_GB2312" w:cs="仿宋_GB2312"/>
                <w:color w:val="000000"/>
                <w:kern w:val="0"/>
                <w:sz w:val="18"/>
                <w:szCs w:val="18"/>
              </w:rPr>
              <w:t>行政备案</w:t>
            </w:r>
          </w:p>
        </w:tc>
        <w:tc>
          <w:tcPr>
            <w:tcW w:w="1134" w:type="dxa"/>
            <w:tcBorders>
              <w:tl2br w:val="nil"/>
              <w:tr2bl w:val="nil"/>
            </w:tcBorders>
            <w:shd w:val="clear" w:color="auto" w:fill="auto"/>
            <w:vAlign w:val="center"/>
          </w:tcPr>
          <w:p w14:paraId="2040851B">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抵押合同网签备案</w:t>
            </w:r>
          </w:p>
        </w:tc>
        <w:tc>
          <w:tcPr>
            <w:tcW w:w="3118" w:type="dxa"/>
            <w:tcBorders>
              <w:tl2br w:val="nil"/>
              <w:tr2bl w:val="nil"/>
            </w:tcBorders>
            <w:shd w:val="clear" w:color="auto" w:fill="auto"/>
            <w:vAlign w:val="center"/>
          </w:tcPr>
          <w:p w14:paraId="6B69A408">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1.《中华人民共和国城市房地产管理法》</w:t>
            </w:r>
          </w:p>
          <w:p w14:paraId="7EB90A54">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2.建办房[2015]45号《房屋交易与产权管理工作导则》（住建部办公厅）</w:t>
            </w:r>
          </w:p>
          <w:p w14:paraId="640E9A0B">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3.建房[2017]215号《关于规范购房融资和加强反洗钱工作的通知》（住建部、人民银行、银监会）</w:t>
            </w:r>
          </w:p>
          <w:p w14:paraId="5FBD8CC1">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4.建房[2018]128号《关于进一步规范和加强房屋网签备案工作的指导意见》（住建部）</w:t>
            </w:r>
          </w:p>
          <w:p w14:paraId="1655304D">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5.冀建房市函[2019]41号《关于全面推行房屋网签备案制度加快系统联网工作的通知》（省住建厅）</w:t>
            </w:r>
          </w:p>
          <w:p w14:paraId="36346C89">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6.冀建房市函[2019]47号《关于加快推进房屋网签备案联网工作的通知》（省住建厅）</w:t>
            </w:r>
          </w:p>
          <w:p w14:paraId="4AC39C46">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7.《秦皇岛市进一步规范和加强房屋网签备案工作的实施意见》（市政府办公室、2019年7月12日发）</w:t>
            </w:r>
          </w:p>
          <w:p w14:paraId="6AF660C6">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8.建房规[2019]5号《关于印发房屋交易合同网签备案业务规范（试行）的通知》（住建部）</w:t>
            </w:r>
          </w:p>
          <w:p w14:paraId="5BE7AA69">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9.秦建笺[2019]369号《关于在全市范围内开展房屋抵押合同网签备案工作的通告》（秦皇岛市住建局）</w:t>
            </w:r>
          </w:p>
          <w:p w14:paraId="4047C8C8">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10.建房规[2020]4号《关于提升房屋网签备案服务效能的意见》（住建部）</w:t>
            </w:r>
          </w:p>
          <w:p w14:paraId="455D4740">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11.建办房[2020]14号《关于印发全国房屋网签备案业务数据标准的通知》（住建部办公厅）</w:t>
            </w:r>
          </w:p>
          <w:p w14:paraId="72AA686E">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kern w:val="0"/>
                <w:sz w:val="18"/>
                <w:szCs w:val="18"/>
              </w:rPr>
              <w:t>12.其他相关法律、法规、规章等。</w:t>
            </w:r>
          </w:p>
        </w:tc>
        <w:tc>
          <w:tcPr>
            <w:tcW w:w="1315" w:type="dxa"/>
            <w:tcBorders>
              <w:tl2br w:val="nil"/>
              <w:tr2bl w:val="nil"/>
            </w:tcBorders>
            <w:shd w:val="clear" w:color="auto" w:fill="auto"/>
            <w:vAlign w:val="center"/>
          </w:tcPr>
          <w:p w14:paraId="3EDDC305">
            <w:pPr>
              <w:jc w:val="center"/>
            </w:pPr>
            <w:r>
              <w:rPr>
                <w:rFonts w:hint="eastAsia" w:ascii="仿宋_GB2312" w:hAnsi="仿宋_GB2312" w:eastAsia="仿宋_GB2312" w:cs="仿宋_GB2312"/>
                <w:color w:val="000000"/>
                <w:kern w:val="0"/>
                <w:sz w:val="18"/>
                <w:szCs w:val="18"/>
              </w:rPr>
              <w:t>山海关区住建局</w:t>
            </w:r>
          </w:p>
        </w:tc>
        <w:tc>
          <w:tcPr>
            <w:tcW w:w="3785" w:type="dxa"/>
            <w:tcBorders>
              <w:tl2br w:val="nil"/>
              <w:tr2bl w:val="nil"/>
            </w:tcBorders>
            <w:shd w:val="clear" w:color="auto" w:fill="auto"/>
            <w:vAlign w:val="center"/>
          </w:tcPr>
          <w:p w14:paraId="5F1E832D">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1.核验责任:对抵押房源、权利主体、提交资料以及录入信息进行核验，符合要求的给予核验通过，不符合要求的驳回。</w:t>
            </w:r>
          </w:p>
          <w:p w14:paraId="0E66CF43">
            <w:pPr>
              <w:widowControl/>
              <w:spacing w:line="240" w:lineRule="exact"/>
              <w:jc w:val="left"/>
              <w:textAlignment w:val="center"/>
              <w:rPr>
                <w:rFonts w:ascii="Times New Roman" w:hAnsi="Times New Roman" w:eastAsia="宋体" w:cs="Times New Roman"/>
                <w:szCs w:val="21"/>
              </w:rPr>
            </w:pPr>
            <w:r>
              <w:rPr>
                <w:rFonts w:hint="eastAsia" w:ascii="仿宋_GB2312" w:hAnsi="宋体" w:eastAsia="仿宋_GB2312" w:cs="仿宋_GB2312"/>
                <w:color w:val="000000"/>
                <w:kern w:val="0"/>
                <w:sz w:val="18"/>
                <w:szCs w:val="18"/>
              </w:rPr>
              <w:t>2.监管责任:对未按要求办理抵押合同网签备案的金融机构或抵押权人进行监督检查。</w:t>
            </w:r>
          </w:p>
          <w:p w14:paraId="285871A5">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3.其他法律、法规、规章、文件规定应履行的责任。</w:t>
            </w:r>
          </w:p>
        </w:tc>
        <w:tc>
          <w:tcPr>
            <w:tcW w:w="3402" w:type="dxa"/>
            <w:tcBorders>
              <w:tl2br w:val="nil"/>
              <w:tr2bl w:val="nil"/>
            </w:tcBorders>
            <w:shd w:val="clear" w:color="auto" w:fill="auto"/>
            <w:vAlign w:val="center"/>
          </w:tcPr>
          <w:p w14:paraId="5F3C0303">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因不履行或不正确履行行政职责，有下列情形的，行政机关及相关工作人员应承担相应责任：</w:t>
            </w:r>
          </w:p>
          <w:p w14:paraId="273B6F64">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1.在工作中玩忽职守、徇私舞弊的；</w:t>
            </w:r>
          </w:p>
          <w:p w14:paraId="4DBEDEE0">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2.对符合办理条件的申请不予受理的；</w:t>
            </w:r>
          </w:p>
          <w:p w14:paraId="54A63999">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3.其他违反法律、法规、规章、文件规定的行为。</w:t>
            </w:r>
          </w:p>
          <w:p w14:paraId="152245EE">
            <w:pPr>
              <w:widowControl/>
              <w:spacing w:line="240" w:lineRule="exact"/>
              <w:jc w:val="left"/>
              <w:textAlignment w:val="center"/>
              <w:rPr>
                <w:rFonts w:ascii="仿宋_GB2312" w:hAnsi="宋体" w:eastAsia="仿宋_GB2312" w:cs="仿宋_GB2312"/>
                <w:color w:val="000000"/>
                <w:kern w:val="0"/>
                <w:sz w:val="18"/>
                <w:szCs w:val="18"/>
              </w:rPr>
            </w:pPr>
          </w:p>
        </w:tc>
        <w:tc>
          <w:tcPr>
            <w:tcW w:w="567" w:type="dxa"/>
            <w:tcBorders>
              <w:tl2br w:val="nil"/>
              <w:tr2bl w:val="nil"/>
            </w:tcBorders>
            <w:shd w:val="clear" w:color="auto" w:fill="auto"/>
            <w:vAlign w:val="center"/>
          </w:tcPr>
          <w:p w14:paraId="6A509FE1">
            <w:pPr>
              <w:spacing w:line="240" w:lineRule="exact"/>
              <w:jc w:val="center"/>
              <w:rPr>
                <w:rFonts w:ascii="仿宋_GB2312" w:hAnsi="仿宋_GB2312" w:eastAsia="仿宋_GB2312" w:cs="仿宋_GB2312"/>
                <w:color w:val="000000"/>
                <w:sz w:val="18"/>
                <w:szCs w:val="18"/>
              </w:rPr>
            </w:pPr>
          </w:p>
        </w:tc>
      </w:tr>
      <w:tr w14:paraId="4E240E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761BC887">
            <w:pPr>
              <w:widowControl/>
              <w:spacing w:line="240" w:lineRule="exact"/>
              <w:jc w:val="center"/>
              <w:textAlignment w:val="center"/>
              <w:rPr>
                <w:rFonts w:ascii="仿宋_GB2312" w:hAnsi="宋体" w:eastAsia="仿宋_GB2312" w:cs="仿宋_GB2312"/>
                <w:color w:val="000000"/>
                <w:kern w:val="0"/>
                <w:sz w:val="18"/>
                <w:szCs w:val="18"/>
              </w:rPr>
            </w:pPr>
            <w:r>
              <w:rPr>
                <w:rFonts w:hint="eastAsia" w:ascii="宋体" w:hAnsi="宋体" w:eastAsia="宋体" w:cs="宋体"/>
                <w:color w:val="000000"/>
                <w:kern w:val="0"/>
                <w:sz w:val="18"/>
                <w:szCs w:val="18"/>
              </w:rPr>
              <w:t>13</w:t>
            </w:r>
          </w:p>
        </w:tc>
        <w:tc>
          <w:tcPr>
            <w:tcW w:w="850" w:type="dxa"/>
            <w:tcBorders>
              <w:tl2br w:val="nil"/>
              <w:tr2bl w:val="nil"/>
            </w:tcBorders>
            <w:shd w:val="clear" w:color="auto" w:fill="auto"/>
            <w:vAlign w:val="center"/>
          </w:tcPr>
          <w:p w14:paraId="67AEBC1D">
            <w:pPr>
              <w:widowControl/>
              <w:spacing w:line="240" w:lineRule="exact"/>
              <w:jc w:val="center"/>
              <w:textAlignment w:val="center"/>
              <w:rPr>
                <w:rFonts w:ascii="仿宋_GB2312" w:hAnsi="宋体" w:eastAsia="仿宋_GB2312" w:cs="仿宋_GB2312"/>
                <w:color w:val="000000"/>
                <w:kern w:val="0"/>
                <w:sz w:val="18"/>
                <w:szCs w:val="18"/>
              </w:rPr>
            </w:pPr>
            <w:r>
              <w:rPr>
                <w:rFonts w:hint="eastAsia" w:ascii="仿宋_GB2312" w:hAnsi="仿宋_GB2312" w:eastAsia="仿宋_GB2312" w:cs="仿宋_GB2312"/>
                <w:color w:val="000000"/>
                <w:kern w:val="0"/>
                <w:sz w:val="18"/>
                <w:szCs w:val="18"/>
              </w:rPr>
              <w:t>行政备案</w:t>
            </w:r>
          </w:p>
        </w:tc>
        <w:tc>
          <w:tcPr>
            <w:tcW w:w="1134" w:type="dxa"/>
            <w:tcBorders>
              <w:tl2br w:val="nil"/>
              <w:tr2bl w:val="nil"/>
            </w:tcBorders>
            <w:shd w:val="clear" w:color="auto" w:fill="auto"/>
            <w:vAlign w:val="center"/>
          </w:tcPr>
          <w:p w14:paraId="3A40E8B8">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商品房现房销售备案</w:t>
            </w:r>
          </w:p>
        </w:tc>
        <w:tc>
          <w:tcPr>
            <w:tcW w:w="3118" w:type="dxa"/>
            <w:tcBorders>
              <w:tl2br w:val="nil"/>
              <w:tr2bl w:val="nil"/>
            </w:tcBorders>
            <w:shd w:val="clear" w:color="auto" w:fill="auto"/>
            <w:vAlign w:val="center"/>
          </w:tcPr>
          <w:p w14:paraId="45885E46">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color w:val="000000"/>
                <w:kern w:val="0"/>
                <w:sz w:val="18"/>
                <w:szCs w:val="18"/>
              </w:rPr>
              <w:t>《商品房销售管理办法》第八条 房地产开发企业应当在商品房现售前将房地产开发项目手册及符合商品房现售条件的有关证明文件报送房地产开发主管部门备案。</w:t>
            </w:r>
          </w:p>
        </w:tc>
        <w:tc>
          <w:tcPr>
            <w:tcW w:w="1315" w:type="dxa"/>
            <w:tcBorders>
              <w:tl2br w:val="nil"/>
              <w:tr2bl w:val="nil"/>
            </w:tcBorders>
            <w:shd w:val="clear" w:color="auto" w:fill="auto"/>
            <w:vAlign w:val="center"/>
          </w:tcPr>
          <w:p w14:paraId="6EE6941A">
            <w:pPr>
              <w:jc w:val="center"/>
            </w:pPr>
            <w:r>
              <w:rPr>
                <w:rFonts w:hint="eastAsia" w:ascii="仿宋_GB2312" w:hAnsi="仿宋_GB2312" w:eastAsia="仿宋_GB2312" w:cs="仿宋_GB2312"/>
                <w:color w:val="000000"/>
                <w:kern w:val="0"/>
                <w:sz w:val="18"/>
                <w:szCs w:val="18"/>
              </w:rPr>
              <w:t>山海关区住建局</w:t>
            </w:r>
          </w:p>
        </w:tc>
        <w:tc>
          <w:tcPr>
            <w:tcW w:w="3785" w:type="dxa"/>
            <w:tcBorders>
              <w:tl2br w:val="nil"/>
              <w:tr2bl w:val="nil"/>
            </w:tcBorders>
            <w:shd w:val="clear" w:color="auto" w:fill="auto"/>
            <w:vAlign w:val="center"/>
          </w:tcPr>
          <w:p w14:paraId="33019EDA">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1.受理责任:公示依法应当提交的材料;一次性告知补正材料。</w:t>
            </w:r>
          </w:p>
          <w:p w14:paraId="3A1DF773">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2.审查责任:审核推荐意见和有关材料，符合要求的，组织有关人员现场察看。</w:t>
            </w:r>
          </w:p>
          <w:p w14:paraId="65DA5421">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3.决定责任:做出申请人是否通过确认的决定；不符合要求的，应当书面通知申请人。</w:t>
            </w:r>
          </w:p>
          <w:p w14:paraId="73F22713">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4.送达责任:通过确认的，颁发商品房现售备案证。</w:t>
            </w:r>
          </w:p>
          <w:p w14:paraId="48083164">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5.其他法律法规规章文件规定应履行的责任。</w:t>
            </w:r>
          </w:p>
        </w:tc>
        <w:tc>
          <w:tcPr>
            <w:tcW w:w="3402" w:type="dxa"/>
            <w:tcBorders>
              <w:tl2br w:val="nil"/>
              <w:tr2bl w:val="nil"/>
            </w:tcBorders>
            <w:shd w:val="clear" w:color="auto" w:fill="auto"/>
            <w:vAlign w:val="center"/>
          </w:tcPr>
          <w:p w14:paraId="437D4D92">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color w:val="000000"/>
                <w:kern w:val="0"/>
                <w:sz w:val="18"/>
                <w:szCs w:val="18"/>
              </w:rPr>
              <w:t>因不履行或不正确履行行政职责，有下列情形</w:t>
            </w:r>
            <w:r>
              <w:rPr>
                <w:rFonts w:hint="eastAsia" w:ascii="仿宋_GB2312" w:hAnsi="宋体" w:eastAsia="仿宋_GB2312" w:cs="仿宋_GB2312"/>
                <w:kern w:val="0"/>
                <w:sz w:val="18"/>
                <w:szCs w:val="18"/>
              </w:rPr>
              <w:t>的，行政机关及相关工作人员应承担相应责任：</w:t>
            </w:r>
          </w:p>
          <w:p w14:paraId="4D7C5F24">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1.在商品房销售管理工作中玩忽职守、滥用职权、徇私舞弊的；</w:t>
            </w:r>
          </w:p>
          <w:p w14:paraId="01696B63">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2.其他违反法律法规规章文件规定的行为。</w:t>
            </w:r>
          </w:p>
        </w:tc>
        <w:tc>
          <w:tcPr>
            <w:tcW w:w="567" w:type="dxa"/>
            <w:tcBorders>
              <w:tl2br w:val="nil"/>
              <w:tr2bl w:val="nil"/>
            </w:tcBorders>
            <w:shd w:val="clear" w:color="auto" w:fill="auto"/>
            <w:vAlign w:val="center"/>
          </w:tcPr>
          <w:p w14:paraId="1CF5AFBE">
            <w:pPr>
              <w:spacing w:line="240" w:lineRule="exact"/>
              <w:jc w:val="center"/>
              <w:rPr>
                <w:rFonts w:ascii="仿宋_GB2312" w:hAnsi="仿宋_GB2312" w:eastAsia="仿宋_GB2312" w:cs="仿宋_GB2312"/>
                <w:color w:val="000000"/>
                <w:sz w:val="18"/>
                <w:szCs w:val="18"/>
              </w:rPr>
            </w:pPr>
          </w:p>
        </w:tc>
      </w:tr>
      <w:tr w14:paraId="18E8E4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499F0E06">
            <w:pPr>
              <w:widowControl/>
              <w:spacing w:line="240" w:lineRule="exact"/>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14</w:t>
            </w:r>
          </w:p>
        </w:tc>
        <w:tc>
          <w:tcPr>
            <w:tcW w:w="850" w:type="dxa"/>
            <w:tcBorders>
              <w:tl2br w:val="nil"/>
              <w:tr2bl w:val="nil"/>
            </w:tcBorders>
            <w:shd w:val="clear" w:color="auto" w:fill="auto"/>
            <w:vAlign w:val="center"/>
          </w:tcPr>
          <w:p w14:paraId="2FCEA831">
            <w:pPr>
              <w:widowControl/>
              <w:spacing w:line="240" w:lineRule="exact"/>
              <w:jc w:val="center"/>
              <w:textAlignment w:val="center"/>
              <w:rPr>
                <w:rFonts w:ascii="仿宋_GB2312" w:hAnsi="宋体" w:eastAsia="仿宋_GB2312" w:cs="仿宋_GB2312"/>
                <w:color w:val="000000"/>
                <w:kern w:val="0"/>
                <w:sz w:val="18"/>
                <w:szCs w:val="18"/>
              </w:rPr>
            </w:pPr>
            <w:r>
              <w:rPr>
                <w:rFonts w:hint="eastAsia" w:ascii="仿宋_GB2312" w:hAnsi="仿宋_GB2312" w:eastAsia="仿宋_GB2312" w:cs="仿宋_GB2312"/>
                <w:color w:val="000000"/>
                <w:kern w:val="0"/>
                <w:sz w:val="18"/>
                <w:szCs w:val="18"/>
              </w:rPr>
              <w:t>行政备案</w:t>
            </w:r>
          </w:p>
        </w:tc>
        <w:tc>
          <w:tcPr>
            <w:tcW w:w="1134" w:type="dxa"/>
            <w:tcBorders>
              <w:tl2br w:val="nil"/>
              <w:tr2bl w:val="nil"/>
            </w:tcBorders>
            <w:shd w:val="clear" w:color="auto" w:fill="auto"/>
            <w:vAlign w:val="center"/>
          </w:tcPr>
          <w:p w14:paraId="602E23A2">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房地产经纪机构备案</w:t>
            </w:r>
          </w:p>
        </w:tc>
        <w:tc>
          <w:tcPr>
            <w:tcW w:w="3118" w:type="dxa"/>
            <w:tcBorders>
              <w:tl2br w:val="nil"/>
              <w:tr2bl w:val="nil"/>
            </w:tcBorders>
            <w:shd w:val="clear" w:color="auto" w:fill="auto"/>
            <w:vAlign w:val="center"/>
          </w:tcPr>
          <w:p w14:paraId="374AE72D">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《房地产经纪管理办法》第五条 县级以上人民政府建设(房地产)主管部门、价格主管部门、人力资源和社会保障主管部门应当按照职责分工，分别负责房地产经纪活动的监督和管理、第十一条房地产经纪机构及其分支机构应当自领取营业执照之日起30日内，到所在直辖市、市、县人民政府建设(房地产)主管部门备案、第二十八条 建设(房地产)主管部门、价格主管部门应当通过现场巡查、合同抽查、投诉受理等方式，釆取约谈、记入信用档案、媒体曝光等措施，对房地产经纪机构和房地产经纪人员进行监督。</w:t>
            </w:r>
          </w:p>
          <w:p w14:paraId="228CAA11">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《中华人民共和国城市房地产管理法》第五十八条 房地产中介服务机构应当具备下列条件:（一）有自己的名称和组织机构；（二）有固定的服务场所；（三）有必要的财产和经费；（四）有足够数量的专业人员；（五）法律、行政法规规定的其他条件。设立房地产中介服务机构，应当向工商行政管理部门申请设立登记，领取营业执照后，方可开业。</w:t>
            </w:r>
          </w:p>
        </w:tc>
        <w:tc>
          <w:tcPr>
            <w:tcW w:w="1315" w:type="dxa"/>
            <w:tcBorders>
              <w:tl2br w:val="nil"/>
              <w:tr2bl w:val="nil"/>
            </w:tcBorders>
            <w:shd w:val="clear" w:color="auto" w:fill="auto"/>
            <w:vAlign w:val="center"/>
          </w:tcPr>
          <w:p w14:paraId="78D2D048">
            <w:pPr>
              <w:jc w:val="center"/>
            </w:pPr>
            <w:r>
              <w:rPr>
                <w:rFonts w:hint="eastAsia" w:ascii="仿宋_GB2312" w:hAnsi="仿宋_GB2312" w:eastAsia="仿宋_GB2312" w:cs="仿宋_GB2312"/>
                <w:color w:val="000000"/>
                <w:kern w:val="0"/>
                <w:sz w:val="18"/>
                <w:szCs w:val="18"/>
              </w:rPr>
              <w:t>山海关区住建局</w:t>
            </w:r>
          </w:p>
        </w:tc>
        <w:tc>
          <w:tcPr>
            <w:tcW w:w="3785" w:type="dxa"/>
            <w:tcBorders>
              <w:tl2br w:val="nil"/>
              <w:tr2bl w:val="nil"/>
            </w:tcBorders>
            <w:shd w:val="clear" w:color="auto" w:fill="auto"/>
            <w:vAlign w:val="center"/>
          </w:tcPr>
          <w:p w14:paraId="594F7082">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1.受理责任:公示依法应当提交的材料;一次性告知提交材料;依法受理或不予受理意见。</w:t>
            </w:r>
          </w:p>
          <w:p w14:paraId="1E8CDC3D">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2.审查责任:审核报卷相关材料，符合要求的，进行受理并上报。</w:t>
            </w:r>
          </w:p>
        </w:tc>
        <w:tc>
          <w:tcPr>
            <w:tcW w:w="3402" w:type="dxa"/>
            <w:tcBorders>
              <w:tl2br w:val="nil"/>
              <w:tr2bl w:val="nil"/>
            </w:tcBorders>
            <w:shd w:val="clear" w:color="auto" w:fill="auto"/>
            <w:vAlign w:val="center"/>
          </w:tcPr>
          <w:p w14:paraId="7202A2DE">
            <w:pPr>
              <w:widowControl/>
              <w:spacing w:line="240" w:lineRule="exact"/>
              <w:jc w:val="left"/>
              <w:textAlignment w:val="center"/>
              <w:rPr>
                <w:rFonts w:ascii="仿宋_GB2312" w:hAnsi="宋体" w:eastAsia="仿宋_GB2312" w:cs="仿宋_GB2312"/>
                <w:color w:val="000000"/>
                <w:kern w:val="0"/>
                <w:sz w:val="18"/>
                <w:szCs w:val="18"/>
              </w:rPr>
            </w:pPr>
          </w:p>
          <w:p w14:paraId="7FEC68AD">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color w:val="000000"/>
                <w:kern w:val="0"/>
                <w:sz w:val="18"/>
                <w:szCs w:val="18"/>
              </w:rPr>
              <w:t>因不履行或不正确履行行政职责，有下列情形</w:t>
            </w:r>
            <w:r>
              <w:rPr>
                <w:rFonts w:hint="eastAsia" w:ascii="仿宋_GB2312" w:hAnsi="宋体" w:eastAsia="仿宋_GB2312" w:cs="仿宋_GB2312"/>
                <w:kern w:val="0"/>
                <w:sz w:val="18"/>
                <w:szCs w:val="18"/>
              </w:rPr>
              <w:t>的，行政机关及相关工作人员应承担相应责任：</w:t>
            </w:r>
          </w:p>
          <w:p w14:paraId="56AECFD4">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1.在工作中玩忽职守、徇私舞弊、滥用职权的：</w:t>
            </w:r>
          </w:p>
          <w:p w14:paraId="0E7FC327">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2.其他违反法律法规规章文件规定的行为。</w:t>
            </w:r>
          </w:p>
        </w:tc>
        <w:tc>
          <w:tcPr>
            <w:tcW w:w="567" w:type="dxa"/>
            <w:tcBorders>
              <w:tl2br w:val="nil"/>
              <w:tr2bl w:val="nil"/>
            </w:tcBorders>
            <w:shd w:val="clear" w:color="auto" w:fill="auto"/>
            <w:vAlign w:val="center"/>
          </w:tcPr>
          <w:p w14:paraId="6CDBB892">
            <w:pPr>
              <w:spacing w:line="240" w:lineRule="exact"/>
              <w:jc w:val="center"/>
              <w:rPr>
                <w:rFonts w:ascii="仿宋_GB2312" w:hAnsi="仿宋_GB2312" w:eastAsia="仿宋_GB2312" w:cs="仿宋_GB2312"/>
                <w:color w:val="000000"/>
                <w:sz w:val="18"/>
                <w:szCs w:val="18"/>
              </w:rPr>
            </w:pPr>
          </w:p>
        </w:tc>
      </w:tr>
      <w:tr w14:paraId="47C41C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A683046">
            <w:pPr>
              <w:widowControl/>
              <w:spacing w:line="240" w:lineRule="exact"/>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15</w:t>
            </w:r>
          </w:p>
        </w:tc>
        <w:tc>
          <w:tcPr>
            <w:tcW w:w="850" w:type="dxa"/>
            <w:tcBorders>
              <w:tl2br w:val="nil"/>
              <w:tr2bl w:val="nil"/>
            </w:tcBorders>
            <w:shd w:val="clear" w:color="auto" w:fill="auto"/>
            <w:vAlign w:val="center"/>
          </w:tcPr>
          <w:p w14:paraId="05F63A0B">
            <w:pPr>
              <w:widowControl/>
              <w:spacing w:line="240" w:lineRule="exact"/>
              <w:jc w:val="center"/>
              <w:textAlignment w:val="center"/>
              <w:rPr>
                <w:rFonts w:ascii="仿宋_GB2312" w:hAnsi="宋体" w:eastAsia="仿宋_GB2312" w:cs="仿宋_GB2312"/>
                <w:color w:val="000000"/>
                <w:kern w:val="0"/>
                <w:sz w:val="18"/>
                <w:szCs w:val="18"/>
              </w:rPr>
            </w:pPr>
            <w:r>
              <w:rPr>
                <w:rFonts w:hint="eastAsia" w:ascii="仿宋_GB2312" w:hAnsi="仿宋_GB2312" w:eastAsia="仿宋_GB2312" w:cs="仿宋_GB2312"/>
                <w:color w:val="000000"/>
                <w:kern w:val="0"/>
                <w:sz w:val="18"/>
                <w:szCs w:val="18"/>
              </w:rPr>
              <w:t>行政备案</w:t>
            </w:r>
          </w:p>
        </w:tc>
        <w:tc>
          <w:tcPr>
            <w:tcW w:w="1134" w:type="dxa"/>
            <w:tcBorders>
              <w:tl2br w:val="nil"/>
              <w:tr2bl w:val="nil"/>
            </w:tcBorders>
            <w:shd w:val="clear" w:color="auto" w:fill="auto"/>
            <w:vAlign w:val="center"/>
          </w:tcPr>
          <w:p w14:paraId="02CD00F1">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房屋建筑和市政基础设施工程竣工验收备案</w:t>
            </w:r>
          </w:p>
        </w:tc>
        <w:tc>
          <w:tcPr>
            <w:tcW w:w="3118" w:type="dxa"/>
            <w:tcBorders>
              <w:tl2br w:val="nil"/>
              <w:tr2bl w:val="nil"/>
            </w:tcBorders>
            <w:shd w:val="clear" w:color="auto" w:fill="auto"/>
            <w:vAlign w:val="center"/>
          </w:tcPr>
          <w:p w14:paraId="6025A366">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1.《房屋建筑和市政工程基础设施工程竣工验收备案管理办法》（2000年4月4日建设部令第78号公布），根据2009年10月19日《住房和城乡建设部关于修改&lt;房屋建筑工程和市政基础设施工程竣工验收备案管理暂行办法&gt;的决定》第四条 建设单位应当自工程竣工验收合格之日起15日内，依照本办法规定，向工程所在地的县级以上地方人民政府建设主管部门（以下简称备案机关）备案。</w:t>
            </w:r>
          </w:p>
          <w:p w14:paraId="54708FD5">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2.《建设工程质量管理条例》（国务院令第279号公布，根据2019年4月23日国务院令第714号《关于修改部分行政法规的决定》修改）第四十九条 建设单位应当自建设工程竣工验收合格之日起15日内，将建设工程竣工验收报告和规划、公安消防、环保等部门出具的认可文件或者准许使用文件报建设行政主管部门或者其他有关部门备案。建设行政主管部门或者其他有关部门发现建设单位在竣工验收过程中有违反国家有关建设工程质量管理规定行为的，责令停止使用，重新组织竣工验收。</w:t>
            </w:r>
          </w:p>
        </w:tc>
        <w:tc>
          <w:tcPr>
            <w:tcW w:w="1315" w:type="dxa"/>
            <w:tcBorders>
              <w:tl2br w:val="nil"/>
              <w:tr2bl w:val="nil"/>
            </w:tcBorders>
            <w:shd w:val="clear" w:color="auto" w:fill="auto"/>
            <w:vAlign w:val="center"/>
          </w:tcPr>
          <w:p w14:paraId="4D31B7C5">
            <w:pPr>
              <w:jc w:val="center"/>
            </w:pPr>
            <w:r>
              <w:rPr>
                <w:rFonts w:hint="eastAsia" w:ascii="仿宋_GB2312" w:hAnsi="仿宋_GB2312" w:eastAsia="仿宋_GB2312" w:cs="仿宋_GB2312"/>
                <w:color w:val="000000"/>
                <w:kern w:val="0"/>
                <w:sz w:val="18"/>
                <w:szCs w:val="18"/>
              </w:rPr>
              <w:t>山海关区住建局</w:t>
            </w:r>
          </w:p>
        </w:tc>
        <w:tc>
          <w:tcPr>
            <w:tcW w:w="3785" w:type="dxa"/>
            <w:tcBorders>
              <w:tl2br w:val="nil"/>
              <w:tr2bl w:val="nil"/>
            </w:tcBorders>
            <w:shd w:val="clear" w:color="auto" w:fill="auto"/>
            <w:vAlign w:val="center"/>
          </w:tcPr>
          <w:p w14:paraId="1032FE6E">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1.受理环节责任：查验申请材料，材料不完整的，应当一次性告知申请人需要补正的全部材料；收到申请人提交的全部补正材料后，应当作出受理或者不予受理的决定，不予受理的，应当告知理由。</w:t>
            </w:r>
          </w:p>
          <w:p w14:paraId="33E206CF">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2.审查环节责任：对申请人提交的备案材料进行审查，符合备案条件的，予以备案，不符合条件的，不予以备案，并告知理由。</w:t>
            </w:r>
          </w:p>
          <w:p w14:paraId="466479AE">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3.备案环节责任：符合条件应及时办理告知手续。</w:t>
            </w:r>
          </w:p>
          <w:p w14:paraId="291C83BA">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4.其他法律法规规章规定的应履行的责任。</w:t>
            </w:r>
          </w:p>
        </w:tc>
        <w:tc>
          <w:tcPr>
            <w:tcW w:w="3402" w:type="dxa"/>
            <w:tcBorders>
              <w:tl2br w:val="nil"/>
              <w:tr2bl w:val="nil"/>
            </w:tcBorders>
            <w:shd w:val="clear" w:color="auto" w:fill="auto"/>
            <w:vAlign w:val="center"/>
          </w:tcPr>
          <w:p w14:paraId="064FDFD7">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因不履行或不正确履行行政职责，有下列情形的，行政机关及相关工作人员应承担相应责任：</w:t>
            </w:r>
          </w:p>
          <w:p w14:paraId="3CAE2BE8">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1.符合申报条件不予受理、不予办理的；</w:t>
            </w:r>
          </w:p>
          <w:p w14:paraId="42894804">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2.不符合申报条件予以受理、办理的；</w:t>
            </w:r>
          </w:p>
          <w:p w14:paraId="3B092582">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3.执法人员玩忽职守、滥用职权、循私舞弊的；</w:t>
            </w:r>
          </w:p>
          <w:p w14:paraId="307B21AA">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color w:val="000000"/>
                <w:kern w:val="0"/>
                <w:sz w:val="18"/>
                <w:szCs w:val="18"/>
              </w:rPr>
              <w:t>4.其他违反法律法规规章规定的行为。</w:t>
            </w:r>
          </w:p>
        </w:tc>
        <w:tc>
          <w:tcPr>
            <w:tcW w:w="567" w:type="dxa"/>
            <w:tcBorders>
              <w:tl2br w:val="nil"/>
              <w:tr2bl w:val="nil"/>
            </w:tcBorders>
            <w:shd w:val="clear" w:color="auto" w:fill="auto"/>
            <w:vAlign w:val="center"/>
          </w:tcPr>
          <w:p w14:paraId="53DBDF3C">
            <w:pPr>
              <w:spacing w:line="240" w:lineRule="exact"/>
              <w:jc w:val="center"/>
              <w:rPr>
                <w:rFonts w:ascii="仿宋_GB2312" w:hAnsi="仿宋_GB2312" w:eastAsia="仿宋_GB2312" w:cs="仿宋_GB2312"/>
                <w:color w:val="000000"/>
                <w:sz w:val="18"/>
                <w:szCs w:val="18"/>
              </w:rPr>
            </w:pPr>
          </w:p>
        </w:tc>
      </w:tr>
      <w:tr w14:paraId="703CE3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7D61CA6A">
            <w:pPr>
              <w:widowControl/>
              <w:spacing w:line="240" w:lineRule="exact"/>
              <w:jc w:val="center"/>
              <w:textAlignment w:val="center"/>
              <w:rPr>
                <w:rFonts w:ascii="宋体" w:hAnsi="宋体" w:eastAsia="宋体" w:cs="宋体"/>
                <w:color w:val="000000"/>
                <w:kern w:val="0"/>
                <w:sz w:val="18"/>
                <w:szCs w:val="18"/>
              </w:rPr>
            </w:pPr>
            <w:r>
              <w:rPr>
                <w:rFonts w:hint="eastAsia" w:ascii="仿宋_GB2312" w:hAnsi="宋体" w:eastAsia="仿宋_GB2312" w:cs="仿宋_GB2312"/>
                <w:color w:val="000000"/>
                <w:kern w:val="0"/>
                <w:sz w:val="18"/>
                <w:szCs w:val="18"/>
              </w:rPr>
              <w:t>16</w:t>
            </w:r>
          </w:p>
        </w:tc>
        <w:tc>
          <w:tcPr>
            <w:tcW w:w="850" w:type="dxa"/>
            <w:tcBorders>
              <w:tl2br w:val="nil"/>
              <w:tr2bl w:val="nil"/>
            </w:tcBorders>
            <w:shd w:val="clear" w:color="auto" w:fill="auto"/>
            <w:vAlign w:val="center"/>
          </w:tcPr>
          <w:p w14:paraId="3F627EA2">
            <w:pPr>
              <w:widowControl/>
              <w:spacing w:line="240" w:lineRule="exact"/>
              <w:jc w:val="center"/>
              <w:textAlignment w:val="center"/>
              <w:rPr>
                <w:rFonts w:ascii="仿宋_GB2312" w:hAnsi="宋体" w:eastAsia="仿宋_GB2312" w:cs="仿宋_GB2312"/>
                <w:color w:val="000000"/>
                <w:kern w:val="0"/>
                <w:sz w:val="18"/>
                <w:szCs w:val="18"/>
              </w:rPr>
            </w:pPr>
            <w:r>
              <w:rPr>
                <w:rFonts w:hint="eastAsia" w:ascii="仿宋_GB2312" w:hAnsi="仿宋_GB2312" w:eastAsia="仿宋_GB2312" w:cs="仿宋_GB2312"/>
                <w:color w:val="000000"/>
                <w:kern w:val="0"/>
                <w:sz w:val="18"/>
                <w:szCs w:val="18"/>
              </w:rPr>
              <w:t>行政备案</w:t>
            </w:r>
          </w:p>
        </w:tc>
        <w:tc>
          <w:tcPr>
            <w:tcW w:w="1134" w:type="dxa"/>
            <w:tcBorders>
              <w:tl2br w:val="nil"/>
              <w:tr2bl w:val="nil"/>
            </w:tcBorders>
            <w:shd w:val="clear" w:color="auto" w:fill="auto"/>
            <w:vAlign w:val="center"/>
          </w:tcPr>
          <w:p w14:paraId="20C03DE8">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存量房合同备案</w:t>
            </w:r>
          </w:p>
        </w:tc>
        <w:tc>
          <w:tcPr>
            <w:tcW w:w="3118" w:type="dxa"/>
            <w:tcBorders>
              <w:tl2br w:val="nil"/>
              <w:tr2bl w:val="nil"/>
            </w:tcBorders>
            <w:shd w:val="clear" w:color="auto" w:fill="auto"/>
            <w:vAlign w:val="center"/>
          </w:tcPr>
          <w:p w14:paraId="4E5E14F2">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1.《中华人民共和国城市房地产管理法》第五十四条 房屋租赁，出租人和承租人应当签订书面租赁合同，约定租赁期限、租赁用途、租赁价格、修缮责任等条款，以及双方的其他权利和义务，并向房产管理部门登记备案。</w:t>
            </w:r>
          </w:p>
          <w:p w14:paraId="00F02016">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2.《房屋交易与产权管理工作导则》（建办房[2015]45号）</w:t>
            </w:r>
          </w:p>
          <w:p w14:paraId="53A225AE">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3.《住房城乡建设部关于进一步规范和加强房屋网签备案工作的指导意见》（建房【2018】128号）</w:t>
            </w:r>
          </w:p>
          <w:p w14:paraId="5C46FC49">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4.《住房和城乡建设部关于印发房屋交易合同网签备案业务规范（试行）的通知》（建房规〔2019〕5号）</w:t>
            </w:r>
          </w:p>
          <w:p w14:paraId="58CB3E56">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5.《住建部关于提升房屋网签备案服务效能的意见》（建房规【2020】4号）6.《关于印发全国房屋网签备案业务数据标准的通知》（建办房[2020]14号）</w:t>
            </w:r>
          </w:p>
        </w:tc>
        <w:tc>
          <w:tcPr>
            <w:tcW w:w="1315" w:type="dxa"/>
            <w:tcBorders>
              <w:tl2br w:val="nil"/>
              <w:tr2bl w:val="nil"/>
            </w:tcBorders>
            <w:shd w:val="clear" w:color="auto" w:fill="auto"/>
            <w:vAlign w:val="center"/>
          </w:tcPr>
          <w:p w14:paraId="0A595F56">
            <w:pPr>
              <w:jc w:val="center"/>
            </w:pPr>
            <w:r>
              <w:rPr>
                <w:rFonts w:hint="eastAsia" w:ascii="仿宋_GB2312" w:hAnsi="仿宋_GB2312" w:eastAsia="仿宋_GB2312" w:cs="仿宋_GB2312"/>
                <w:color w:val="000000"/>
                <w:kern w:val="0"/>
                <w:sz w:val="18"/>
                <w:szCs w:val="18"/>
              </w:rPr>
              <w:t>山海关区住建局</w:t>
            </w:r>
          </w:p>
        </w:tc>
        <w:tc>
          <w:tcPr>
            <w:tcW w:w="3785" w:type="dxa"/>
            <w:tcBorders>
              <w:tl2br w:val="nil"/>
              <w:tr2bl w:val="nil"/>
            </w:tcBorders>
            <w:shd w:val="clear" w:color="auto" w:fill="auto"/>
            <w:vAlign w:val="center"/>
          </w:tcPr>
          <w:p w14:paraId="58F3BF0E">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1.受理责任:公示应当提交的材料;一次性告知补正材料。</w:t>
            </w:r>
          </w:p>
          <w:p w14:paraId="5E729867">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2.审查责任:符合存量房交易条件，办理网签并备案赋码。</w:t>
            </w:r>
          </w:p>
          <w:p w14:paraId="1C2113A7">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3.解释备案责任：对政策规定的具体含义和出现新的情况适用问题进行解释；按规定向有关机关备案。</w:t>
            </w:r>
          </w:p>
          <w:p w14:paraId="18F634EB">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4.其他法律法规规章文件规定应履行的责任。</w:t>
            </w:r>
          </w:p>
        </w:tc>
        <w:tc>
          <w:tcPr>
            <w:tcW w:w="3402" w:type="dxa"/>
            <w:tcBorders>
              <w:tl2br w:val="nil"/>
              <w:tr2bl w:val="nil"/>
            </w:tcBorders>
            <w:shd w:val="clear" w:color="auto" w:fill="auto"/>
            <w:vAlign w:val="center"/>
          </w:tcPr>
          <w:p w14:paraId="1D178F57">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因不履行或不正确履行行政职责，有下列情形的，行政机关及相关工作人员应承担相应责任：</w:t>
            </w:r>
          </w:p>
          <w:p w14:paraId="6BEEE9BC">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1.在工作中玩忽职守、徇私舞弊的；</w:t>
            </w:r>
          </w:p>
          <w:p w14:paraId="5B5A1D57">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2.其他违反法律法规规章文件规定的行为。</w:t>
            </w:r>
          </w:p>
        </w:tc>
        <w:tc>
          <w:tcPr>
            <w:tcW w:w="567" w:type="dxa"/>
            <w:tcBorders>
              <w:tl2br w:val="nil"/>
              <w:tr2bl w:val="nil"/>
            </w:tcBorders>
            <w:shd w:val="clear" w:color="auto" w:fill="auto"/>
            <w:vAlign w:val="center"/>
          </w:tcPr>
          <w:p w14:paraId="259FA9BD">
            <w:pPr>
              <w:spacing w:line="240" w:lineRule="exact"/>
              <w:jc w:val="center"/>
              <w:rPr>
                <w:rFonts w:ascii="仿宋_GB2312" w:hAnsi="仿宋_GB2312" w:eastAsia="仿宋_GB2312" w:cs="仿宋_GB2312"/>
                <w:color w:val="000000"/>
                <w:sz w:val="18"/>
                <w:szCs w:val="18"/>
              </w:rPr>
            </w:pPr>
          </w:p>
        </w:tc>
      </w:tr>
      <w:tr w14:paraId="4A0356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2FA571C8">
            <w:pPr>
              <w:widowControl/>
              <w:spacing w:line="240" w:lineRule="exact"/>
              <w:jc w:val="center"/>
              <w:textAlignment w:val="center"/>
              <w:rPr>
                <w:rFonts w:ascii="宋体" w:hAnsi="宋体" w:eastAsia="宋体" w:cs="宋体"/>
                <w:color w:val="000000"/>
                <w:kern w:val="0"/>
                <w:sz w:val="18"/>
                <w:szCs w:val="18"/>
              </w:rPr>
            </w:pPr>
            <w:r>
              <w:rPr>
                <w:rFonts w:hint="eastAsia" w:ascii="仿宋_GB2312" w:hAnsi="宋体" w:eastAsia="仿宋_GB2312" w:cs="仿宋_GB2312"/>
                <w:color w:val="000000"/>
                <w:kern w:val="0"/>
                <w:sz w:val="18"/>
                <w:szCs w:val="18"/>
              </w:rPr>
              <w:t>17</w:t>
            </w:r>
          </w:p>
        </w:tc>
        <w:tc>
          <w:tcPr>
            <w:tcW w:w="850" w:type="dxa"/>
            <w:tcBorders>
              <w:tl2br w:val="nil"/>
              <w:tr2bl w:val="nil"/>
            </w:tcBorders>
            <w:shd w:val="clear" w:color="auto" w:fill="auto"/>
            <w:vAlign w:val="center"/>
          </w:tcPr>
          <w:p w14:paraId="731A7A54">
            <w:pPr>
              <w:widowControl/>
              <w:spacing w:line="240" w:lineRule="exact"/>
              <w:jc w:val="center"/>
              <w:textAlignment w:val="center"/>
              <w:rPr>
                <w:rFonts w:ascii="仿宋_GB2312" w:hAnsi="宋体" w:eastAsia="仿宋_GB2312" w:cs="仿宋_GB2312"/>
                <w:color w:val="000000"/>
                <w:kern w:val="0"/>
                <w:sz w:val="18"/>
                <w:szCs w:val="18"/>
              </w:rPr>
            </w:pPr>
            <w:r>
              <w:rPr>
                <w:rFonts w:hint="eastAsia" w:ascii="仿宋_GB2312" w:hAnsi="仿宋_GB2312" w:eastAsia="仿宋_GB2312" w:cs="仿宋_GB2312"/>
                <w:color w:val="000000"/>
                <w:kern w:val="0"/>
                <w:sz w:val="18"/>
                <w:szCs w:val="18"/>
              </w:rPr>
              <w:t>行政备案</w:t>
            </w:r>
          </w:p>
        </w:tc>
        <w:tc>
          <w:tcPr>
            <w:tcW w:w="1134" w:type="dxa"/>
            <w:tcBorders>
              <w:tl2br w:val="nil"/>
              <w:tr2bl w:val="nil"/>
            </w:tcBorders>
            <w:shd w:val="clear" w:color="auto" w:fill="auto"/>
            <w:vAlign w:val="center"/>
          </w:tcPr>
          <w:p w14:paraId="275AE57E">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小区物业企业招投标备案</w:t>
            </w:r>
          </w:p>
        </w:tc>
        <w:tc>
          <w:tcPr>
            <w:tcW w:w="3118" w:type="dxa"/>
            <w:tcBorders>
              <w:tl2br w:val="nil"/>
              <w:tr2bl w:val="nil"/>
            </w:tcBorders>
            <w:shd w:val="clear" w:color="auto" w:fill="auto"/>
            <w:vAlign w:val="center"/>
          </w:tcPr>
          <w:p w14:paraId="58CC305D">
            <w:pPr>
              <w:widowControl/>
              <w:spacing w:line="240" w:lineRule="exact"/>
              <w:jc w:val="left"/>
              <w:textAlignment w:val="center"/>
              <w:rPr>
                <w:rFonts w:ascii="仿宋_GB2312" w:hAnsi="宋体" w:eastAsia="仿宋_GB2312" w:cs="仿宋_GB2312"/>
                <w:color w:val="000000"/>
                <w:kern w:val="0"/>
                <w:sz w:val="18"/>
                <w:szCs w:val="18"/>
              </w:rPr>
            </w:pPr>
          </w:p>
          <w:p w14:paraId="2D893073">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 xml:space="preserve"> 《前期物业管理招标投标管理暂行办法》（建住房[2003]130号）第十三条 经资格预审后，公开招标的招标人应当向资格预审合格的投标申请人发出资格预审合格通知书，告知获取招标文件的时间、地点和方法，并同时向资格不合格的投标申请人告知资格预审结果。在资格预审合格的投标申请人过多时，可以由招标人从中选择不少于 5 家资格预审合格的投标申请人</w:t>
            </w:r>
          </w:p>
        </w:tc>
        <w:tc>
          <w:tcPr>
            <w:tcW w:w="1315" w:type="dxa"/>
            <w:tcBorders>
              <w:tl2br w:val="nil"/>
              <w:tr2bl w:val="nil"/>
            </w:tcBorders>
            <w:shd w:val="clear" w:color="auto" w:fill="auto"/>
            <w:vAlign w:val="center"/>
          </w:tcPr>
          <w:p w14:paraId="5F2A681A">
            <w:pPr>
              <w:jc w:val="center"/>
            </w:pPr>
            <w:r>
              <w:rPr>
                <w:rFonts w:hint="eastAsia" w:ascii="仿宋_GB2312" w:hAnsi="仿宋_GB2312" w:eastAsia="仿宋_GB2312" w:cs="仿宋_GB2312"/>
                <w:color w:val="000000"/>
                <w:kern w:val="0"/>
                <w:sz w:val="18"/>
                <w:szCs w:val="18"/>
              </w:rPr>
              <w:t>山海关区住建局</w:t>
            </w:r>
          </w:p>
        </w:tc>
        <w:tc>
          <w:tcPr>
            <w:tcW w:w="3785" w:type="dxa"/>
            <w:tcBorders>
              <w:tl2br w:val="nil"/>
              <w:tr2bl w:val="nil"/>
            </w:tcBorders>
            <w:shd w:val="clear" w:color="auto" w:fill="auto"/>
            <w:vAlign w:val="center"/>
          </w:tcPr>
          <w:p w14:paraId="054619B8">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1.受理责任:公示依法应当提交的材料;一次性告知补正材料。</w:t>
            </w:r>
          </w:p>
          <w:p w14:paraId="3C113F77">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2.审查责任：审核有关材料，符合要求的，给予审核通过。</w:t>
            </w:r>
          </w:p>
          <w:p w14:paraId="1050846A">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3.决定责任:做出申请人是否通过的决定；不符合要求的，应当书面通知申请人。</w:t>
            </w:r>
          </w:p>
          <w:p w14:paraId="6F8974FC">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4.其他法律法规规章文件规定应履行的责任。</w:t>
            </w:r>
          </w:p>
        </w:tc>
        <w:tc>
          <w:tcPr>
            <w:tcW w:w="3402" w:type="dxa"/>
            <w:tcBorders>
              <w:tl2br w:val="nil"/>
              <w:tr2bl w:val="nil"/>
            </w:tcBorders>
            <w:shd w:val="clear" w:color="auto" w:fill="auto"/>
            <w:vAlign w:val="center"/>
          </w:tcPr>
          <w:p w14:paraId="5C6489DF">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因不履行或不正确履行行政职责，有下列情形的，行政机关及相关工作人员应承担相应责任：</w:t>
            </w:r>
          </w:p>
          <w:p w14:paraId="7B70C4B2">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1.对符合受理条件的申请不予受理的；</w:t>
            </w:r>
          </w:p>
          <w:p w14:paraId="66CCE20D">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2.未严格按照相关政策履行义务，对应当予以备案的不予备案，或者对不应备案的予以备案的；</w:t>
            </w:r>
          </w:p>
          <w:p w14:paraId="7565DF5B">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3.未作出书面告知行为的；</w:t>
            </w:r>
          </w:p>
          <w:p w14:paraId="46676C43">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color w:val="000000"/>
                <w:kern w:val="0"/>
                <w:sz w:val="18"/>
                <w:szCs w:val="18"/>
              </w:rPr>
              <w:t>4.其他违反法律法规规章文件规定行为的。</w:t>
            </w:r>
          </w:p>
        </w:tc>
        <w:tc>
          <w:tcPr>
            <w:tcW w:w="567" w:type="dxa"/>
            <w:tcBorders>
              <w:tl2br w:val="nil"/>
              <w:tr2bl w:val="nil"/>
            </w:tcBorders>
            <w:shd w:val="clear" w:color="auto" w:fill="auto"/>
            <w:vAlign w:val="center"/>
          </w:tcPr>
          <w:p w14:paraId="26EC3291">
            <w:pPr>
              <w:spacing w:line="240" w:lineRule="exact"/>
              <w:jc w:val="center"/>
              <w:rPr>
                <w:rFonts w:ascii="仿宋_GB2312" w:hAnsi="仿宋_GB2312" w:eastAsia="仿宋_GB2312" w:cs="仿宋_GB2312"/>
                <w:color w:val="000000"/>
                <w:sz w:val="18"/>
                <w:szCs w:val="18"/>
              </w:rPr>
            </w:pPr>
          </w:p>
        </w:tc>
      </w:tr>
      <w:tr w14:paraId="36A262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519DBA7C">
            <w:pPr>
              <w:widowControl/>
              <w:spacing w:line="240" w:lineRule="exact"/>
              <w:jc w:val="center"/>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18</w:t>
            </w:r>
          </w:p>
        </w:tc>
        <w:tc>
          <w:tcPr>
            <w:tcW w:w="850" w:type="dxa"/>
            <w:tcBorders>
              <w:tl2br w:val="nil"/>
              <w:tr2bl w:val="nil"/>
            </w:tcBorders>
            <w:shd w:val="clear" w:color="auto" w:fill="auto"/>
            <w:vAlign w:val="center"/>
          </w:tcPr>
          <w:p w14:paraId="593A3749">
            <w:pPr>
              <w:widowControl/>
              <w:spacing w:line="240" w:lineRule="exact"/>
              <w:jc w:val="center"/>
              <w:textAlignment w:val="center"/>
              <w:rPr>
                <w:rFonts w:ascii="仿宋_GB2312" w:hAnsi="宋体" w:eastAsia="仿宋_GB2312" w:cs="仿宋_GB2312"/>
                <w:color w:val="000000"/>
                <w:kern w:val="0"/>
                <w:sz w:val="18"/>
                <w:szCs w:val="18"/>
              </w:rPr>
            </w:pPr>
            <w:r>
              <w:rPr>
                <w:rFonts w:hint="eastAsia" w:ascii="仿宋_GB2312" w:hAnsi="仿宋_GB2312" w:eastAsia="仿宋_GB2312" w:cs="仿宋_GB2312"/>
                <w:color w:val="000000"/>
                <w:kern w:val="0"/>
                <w:sz w:val="18"/>
                <w:szCs w:val="18"/>
              </w:rPr>
              <w:t>行政备案</w:t>
            </w:r>
          </w:p>
        </w:tc>
        <w:tc>
          <w:tcPr>
            <w:tcW w:w="1134" w:type="dxa"/>
            <w:tcBorders>
              <w:tl2br w:val="nil"/>
              <w:tr2bl w:val="nil"/>
            </w:tcBorders>
            <w:shd w:val="clear" w:color="auto" w:fill="auto"/>
            <w:vAlign w:val="center"/>
          </w:tcPr>
          <w:p w14:paraId="60C34379">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施工图设计文件审查情况备案</w:t>
            </w:r>
          </w:p>
        </w:tc>
        <w:tc>
          <w:tcPr>
            <w:tcW w:w="3118" w:type="dxa"/>
            <w:tcBorders>
              <w:tl2br w:val="nil"/>
              <w:tr2bl w:val="nil"/>
            </w:tcBorders>
            <w:shd w:val="clear" w:color="auto" w:fill="auto"/>
            <w:vAlign w:val="center"/>
          </w:tcPr>
          <w:p w14:paraId="6D0EABCE">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《房屋建筑和市政基础设施工程施工图设计文件审查管理办法》（中华人民共和国住房和城乡建设部令第 13 号） 第 十三条 审查机构对施工图进行审查后，应当根据下列情况分别作出处理:(一)审查合格的，审查机构应当向建设单位出具审查合格书，并在全套施工图上加盖审查专用章。审查合格书应当有各专业的审查人员签字，经法定代表人签发，并加盖审查机构公章。审查机构应当在出具审查合格书后 5个工作日内，将审查情况报工程所在地县级以上地方人民政府住房城乡建设主管部门备案；(二)审查不合格的，审查机构应当将施工图退建设单位并出具审查意见告知书，说明不合格原因。同时，应当将审查意见告知书及审查中发现的建设单位、勘察设计企业和注册执业人员违反法律、法规和工程建设强制性标准的问题，报工程所在地县级以上地方人民政府住房城乡建设主管部门。施工图退建设单位后，建设单位应当要求原勘察设计企业进行修改，并将修改后的施工图送原审查机构复审。</w:t>
            </w:r>
          </w:p>
        </w:tc>
        <w:tc>
          <w:tcPr>
            <w:tcW w:w="1315" w:type="dxa"/>
            <w:tcBorders>
              <w:tl2br w:val="nil"/>
              <w:tr2bl w:val="nil"/>
            </w:tcBorders>
            <w:shd w:val="clear" w:color="auto" w:fill="auto"/>
          </w:tcPr>
          <w:p w14:paraId="180D6183">
            <w:pPr>
              <w:jc w:val="center"/>
            </w:pPr>
            <w:r>
              <w:rPr>
                <w:rFonts w:hint="eastAsia" w:ascii="仿宋_GB2312" w:hAnsi="仿宋_GB2312" w:eastAsia="仿宋_GB2312" w:cs="仿宋_GB2312"/>
                <w:color w:val="000000"/>
                <w:kern w:val="0"/>
                <w:sz w:val="18"/>
                <w:szCs w:val="18"/>
              </w:rPr>
              <w:t>山海关区住建局</w:t>
            </w:r>
          </w:p>
        </w:tc>
        <w:tc>
          <w:tcPr>
            <w:tcW w:w="3785" w:type="dxa"/>
            <w:tcBorders>
              <w:tl2br w:val="nil"/>
              <w:tr2bl w:val="nil"/>
            </w:tcBorders>
            <w:shd w:val="clear" w:color="auto" w:fill="auto"/>
            <w:vAlign w:val="center"/>
          </w:tcPr>
          <w:p w14:paraId="48E6B4DF">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1.受理责任：公示施工图设计文件应提交的材料清单；依法受理或不受理施工图设计文件审查材料。</w:t>
            </w:r>
          </w:p>
          <w:p w14:paraId="65EA00CE">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2.审查责任：按照施工图设计文件审查管理有关法律法规审核申请材料是否齐全并规范填写、是否按规定程序申报。</w:t>
            </w:r>
          </w:p>
          <w:p w14:paraId="390B4D16">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3.决定责任：作出审查是否合格的决定；不符合要求的，向申请单位作出书面告知。</w:t>
            </w:r>
          </w:p>
          <w:p w14:paraId="0F85118A">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4.其他法律法规规章文件规定应履行的责任。</w:t>
            </w:r>
          </w:p>
        </w:tc>
        <w:tc>
          <w:tcPr>
            <w:tcW w:w="3402" w:type="dxa"/>
            <w:tcBorders>
              <w:tl2br w:val="nil"/>
              <w:tr2bl w:val="nil"/>
            </w:tcBorders>
            <w:shd w:val="clear" w:color="auto" w:fill="auto"/>
            <w:vAlign w:val="center"/>
          </w:tcPr>
          <w:p w14:paraId="17D1F770">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因不履行或不正确履行行政职责，有下列情形的，行政机关及相关工作人员应承担相应责任：</w:t>
            </w:r>
          </w:p>
          <w:p w14:paraId="56B7073C">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1.对符合受理条件的申请不予受理的；</w:t>
            </w:r>
          </w:p>
          <w:p w14:paraId="7D6D465C">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2.未严格按照施工图设计文件审查管理有关法律法规审核申请材料是否齐全并规范填写、是否按规定程序申报的；</w:t>
            </w:r>
          </w:p>
          <w:p w14:paraId="19C2FA85">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3.未作出书面告知行为的；</w:t>
            </w:r>
          </w:p>
          <w:p w14:paraId="5B1BA394">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4.其他违反法律法规规章文件规定行为的。</w:t>
            </w:r>
          </w:p>
        </w:tc>
        <w:tc>
          <w:tcPr>
            <w:tcW w:w="567" w:type="dxa"/>
            <w:tcBorders>
              <w:tl2br w:val="nil"/>
              <w:tr2bl w:val="nil"/>
            </w:tcBorders>
            <w:shd w:val="clear" w:color="auto" w:fill="auto"/>
            <w:vAlign w:val="center"/>
          </w:tcPr>
          <w:p w14:paraId="54CB11F3">
            <w:pPr>
              <w:spacing w:line="240" w:lineRule="exact"/>
              <w:jc w:val="center"/>
              <w:rPr>
                <w:rFonts w:ascii="仿宋_GB2312" w:hAnsi="仿宋_GB2312" w:eastAsia="仿宋_GB2312" w:cs="仿宋_GB2312"/>
                <w:color w:val="000000"/>
                <w:sz w:val="18"/>
                <w:szCs w:val="18"/>
              </w:rPr>
            </w:pPr>
          </w:p>
        </w:tc>
      </w:tr>
      <w:tr w14:paraId="0B75FD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53445318">
            <w:pPr>
              <w:widowControl/>
              <w:spacing w:line="240" w:lineRule="exact"/>
              <w:jc w:val="center"/>
              <w:textAlignment w:val="center"/>
              <w:rPr>
                <w:rFonts w:hint="default" w:ascii="仿宋_GB2312" w:hAnsi="宋体" w:eastAsia="仿宋_GB2312" w:cs="仿宋_GB2312"/>
                <w:color w:val="FF0000"/>
                <w:kern w:val="0"/>
                <w:sz w:val="18"/>
                <w:szCs w:val="18"/>
                <w:lang w:val="en-US" w:eastAsia="zh-CN"/>
              </w:rPr>
            </w:pPr>
            <w:r>
              <w:rPr>
                <w:rFonts w:hint="eastAsia" w:ascii="仿宋_GB2312" w:hAnsi="宋体" w:eastAsia="仿宋_GB2312" w:cs="仿宋_GB2312"/>
                <w:color w:val="FF0000"/>
                <w:kern w:val="0"/>
                <w:sz w:val="18"/>
                <w:szCs w:val="18"/>
                <w:lang w:val="en-US" w:eastAsia="zh-CN"/>
              </w:rPr>
              <w:t>19</w:t>
            </w:r>
          </w:p>
        </w:tc>
        <w:tc>
          <w:tcPr>
            <w:tcW w:w="850" w:type="dxa"/>
            <w:tcBorders>
              <w:tl2br w:val="nil"/>
              <w:tr2bl w:val="nil"/>
            </w:tcBorders>
            <w:shd w:val="clear" w:color="auto" w:fill="auto"/>
            <w:vAlign w:val="center"/>
          </w:tcPr>
          <w:p w14:paraId="71EA7E9F">
            <w:pPr>
              <w:widowControl/>
              <w:spacing w:line="240" w:lineRule="exact"/>
              <w:jc w:val="both"/>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行政备案</w:t>
            </w:r>
          </w:p>
        </w:tc>
        <w:tc>
          <w:tcPr>
            <w:tcW w:w="1134" w:type="dxa"/>
            <w:tcBorders>
              <w:tl2br w:val="nil"/>
              <w:tr2bl w:val="nil"/>
            </w:tcBorders>
            <w:shd w:val="clear" w:color="auto" w:fill="auto"/>
            <w:vAlign w:val="center"/>
          </w:tcPr>
          <w:p w14:paraId="2C1621DF">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物业服务合同备案</w:t>
            </w:r>
          </w:p>
        </w:tc>
        <w:tc>
          <w:tcPr>
            <w:tcW w:w="3118" w:type="dxa"/>
            <w:tcBorders>
              <w:tl2br w:val="nil"/>
              <w:tr2bl w:val="nil"/>
            </w:tcBorders>
            <w:shd w:val="clear" w:color="auto" w:fill="auto"/>
            <w:vAlign w:val="center"/>
          </w:tcPr>
          <w:p w14:paraId="51793BA7">
            <w:pPr>
              <w:widowControl/>
              <w:spacing w:line="240" w:lineRule="exact"/>
              <w:jc w:val="left"/>
              <w:textAlignment w:val="center"/>
              <w:rPr>
                <w:rFonts w:hint="eastAsia" w:ascii="仿宋_GB2312" w:hAnsi="宋体" w:eastAsia="仿宋_GB2312" w:cs="仿宋_GB2312"/>
                <w:color w:val="FF0000"/>
                <w:kern w:val="0"/>
                <w:sz w:val="18"/>
                <w:szCs w:val="18"/>
                <w:lang w:val="en-US" w:eastAsia="zh-CN"/>
              </w:rPr>
            </w:pPr>
            <w:r>
              <w:rPr>
                <w:rFonts w:hint="eastAsia" w:ascii="仿宋_GB2312" w:hAnsi="宋体" w:eastAsia="仿宋_GB2312" w:cs="仿宋_GB2312"/>
                <w:color w:val="FF0000"/>
                <w:kern w:val="0"/>
                <w:sz w:val="18"/>
                <w:szCs w:val="18"/>
                <w:lang w:val="en-US" w:eastAsia="zh-CN"/>
              </w:rPr>
              <w:t>《秦皇岛市物业管理条例》</w:t>
            </w:r>
          </w:p>
          <w:p w14:paraId="72A59D4B">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第三十八条  业主委员会与业主大会选聘的物业服务企业订立的书面物业服务合同主要包括下列内容：</w:t>
            </w:r>
          </w:p>
          <w:p w14:paraId="046782C7">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（一）业主委员会和物业服务企业的名称；</w:t>
            </w:r>
          </w:p>
          <w:p w14:paraId="7A5FC43A">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（二）物业管理区域的范围；</w:t>
            </w:r>
          </w:p>
          <w:p w14:paraId="00082DB9">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（三）服务的内容；</w:t>
            </w:r>
          </w:p>
          <w:p w14:paraId="339D271F">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（四）服务的标准；</w:t>
            </w:r>
          </w:p>
          <w:p w14:paraId="71E74673">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（五）服务的费用及其调整程序；</w:t>
            </w:r>
          </w:p>
          <w:p w14:paraId="7C165D7D">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（六）合同的期限；</w:t>
            </w:r>
          </w:p>
          <w:p w14:paraId="452DCD9B">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（七）合同的解除；</w:t>
            </w:r>
          </w:p>
          <w:p w14:paraId="29B39472">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（八）违约责任；</w:t>
            </w:r>
          </w:p>
          <w:p w14:paraId="2D110F90">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（九）双方需要约定的其他事项。</w:t>
            </w:r>
          </w:p>
          <w:p w14:paraId="216FBC22">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物业服务企业应当自物业服务合同签订之日起十五日内，将物业服务合同报县（区）房产行政主管部门备案。</w:t>
            </w:r>
          </w:p>
          <w:p w14:paraId="7C121A63">
            <w:pPr>
              <w:widowControl/>
              <w:spacing w:line="240" w:lineRule="exact"/>
              <w:jc w:val="left"/>
              <w:textAlignment w:val="center"/>
              <w:rPr>
                <w:rFonts w:hint="eastAsia" w:ascii="仿宋_GB2312" w:hAnsi="宋体" w:eastAsia="仿宋_GB2312" w:cs="仿宋_GB2312"/>
                <w:color w:val="FF0000"/>
                <w:kern w:val="0"/>
                <w:sz w:val="18"/>
                <w:szCs w:val="18"/>
              </w:rPr>
            </w:pPr>
          </w:p>
        </w:tc>
        <w:tc>
          <w:tcPr>
            <w:tcW w:w="1315" w:type="dxa"/>
            <w:tcBorders>
              <w:tl2br w:val="nil"/>
              <w:tr2bl w:val="nil"/>
            </w:tcBorders>
            <w:shd w:val="clear" w:color="auto" w:fill="auto"/>
          </w:tcPr>
          <w:p w14:paraId="4CF6288F">
            <w:pPr>
              <w:jc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785" w:type="dxa"/>
            <w:tcBorders>
              <w:tl2br w:val="nil"/>
              <w:tr2bl w:val="nil"/>
            </w:tcBorders>
            <w:shd w:val="clear" w:color="auto" w:fill="auto"/>
            <w:vAlign w:val="center"/>
          </w:tcPr>
          <w:p w14:paraId="4889DB42">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1.受理责任:公示依法应当提交的材料;一次性告知补正材料;</w:t>
            </w:r>
          </w:p>
          <w:p w14:paraId="1A9A4B38">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2.审查责任：审核有关材料，符合要求的，给予审核通过；</w:t>
            </w:r>
          </w:p>
          <w:p w14:paraId="01CA9D59">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3.决定责任:做出申请人是否通过确认的决定；不符合要求的，应当书面通知申请人；</w:t>
            </w:r>
          </w:p>
          <w:p w14:paraId="59D2C667">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4、其他法律法规规章文件规定应履行的责任。</w:t>
            </w:r>
          </w:p>
        </w:tc>
        <w:tc>
          <w:tcPr>
            <w:tcW w:w="3402" w:type="dxa"/>
            <w:tcBorders>
              <w:tl2br w:val="nil"/>
              <w:tr2bl w:val="nil"/>
            </w:tcBorders>
            <w:shd w:val="clear" w:color="auto" w:fill="auto"/>
            <w:vAlign w:val="center"/>
          </w:tcPr>
          <w:p w14:paraId="1673AC42">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因不履行或不正确履行行政职责，有下列情形的，行政机关及相关工作人员应承担相应责任：</w:t>
            </w:r>
          </w:p>
          <w:p w14:paraId="0A36598E">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1.对符合受理条件的申请不予受理的；</w:t>
            </w:r>
          </w:p>
          <w:p w14:paraId="18A49F54">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2.未严格按照相关政策履行义</w:t>
            </w:r>
          </w:p>
          <w:p w14:paraId="25BAA42F">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务，对应当予以认定的不予认定，或者对不应认定的予以认定的；</w:t>
            </w:r>
          </w:p>
          <w:p w14:paraId="074436C3">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3.未作出书面告知行为的；</w:t>
            </w:r>
          </w:p>
          <w:p w14:paraId="13DC85FD">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4、其他违反法律法规规章文件规定行为的</w:t>
            </w:r>
          </w:p>
        </w:tc>
        <w:tc>
          <w:tcPr>
            <w:tcW w:w="567" w:type="dxa"/>
            <w:tcBorders>
              <w:tl2br w:val="nil"/>
              <w:tr2bl w:val="nil"/>
            </w:tcBorders>
            <w:shd w:val="clear" w:color="auto" w:fill="auto"/>
            <w:vAlign w:val="center"/>
          </w:tcPr>
          <w:p w14:paraId="00B1E4D5">
            <w:pPr>
              <w:spacing w:line="240" w:lineRule="exact"/>
              <w:jc w:val="center"/>
              <w:rPr>
                <w:rFonts w:ascii="仿宋_GB2312" w:hAnsi="仿宋_GB2312" w:eastAsia="仿宋_GB2312" w:cs="仿宋_GB2312"/>
                <w:color w:val="000000"/>
                <w:sz w:val="18"/>
                <w:szCs w:val="18"/>
              </w:rPr>
            </w:pPr>
          </w:p>
        </w:tc>
      </w:tr>
      <w:tr w14:paraId="708910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4A4F448C">
            <w:pPr>
              <w:widowControl/>
              <w:spacing w:line="240" w:lineRule="exact"/>
              <w:jc w:val="center"/>
              <w:textAlignment w:val="center"/>
              <w:rPr>
                <w:rFonts w:hint="default" w:ascii="仿宋_GB2312" w:hAnsi="宋体" w:eastAsia="仿宋_GB2312" w:cs="仿宋_GB2312"/>
                <w:color w:val="FF0000"/>
                <w:kern w:val="0"/>
                <w:sz w:val="18"/>
                <w:szCs w:val="18"/>
                <w:lang w:val="en-US" w:eastAsia="zh-CN"/>
              </w:rPr>
            </w:pPr>
            <w:r>
              <w:rPr>
                <w:rFonts w:hint="eastAsia" w:ascii="仿宋_GB2312" w:hAnsi="宋体" w:eastAsia="仿宋_GB2312" w:cs="仿宋_GB2312"/>
                <w:color w:val="FF0000"/>
                <w:kern w:val="0"/>
                <w:sz w:val="18"/>
                <w:szCs w:val="18"/>
                <w:lang w:val="en-US" w:eastAsia="zh-CN"/>
              </w:rPr>
              <w:t>20</w:t>
            </w:r>
          </w:p>
        </w:tc>
        <w:tc>
          <w:tcPr>
            <w:tcW w:w="850" w:type="dxa"/>
            <w:tcBorders>
              <w:tl2br w:val="nil"/>
              <w:tr2bl w:val="nil"/>
            </w:tcBorders>
            <w:shd w:val="clear" w:color="auto" w:fill="auto"/>
            <w:vAlign w:val="center"/>
          </w:tcPr>
          <w:p w14:paraId="16C697B4">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行政备案</w:t>
            </w:r>
          </w:p>
        </w:tc>
        <w:tc>
          <w:tcPr>
            <w:tcW w:w="1134" w:type="dxa"/>
            <w:tcBorders>
              <w:tl2br w:val="nil"/>
              <w:tr2bl w:val="nil"/>
            </w:tcBorders>
            <w:shd w:val="clear" w:color="auto" w:fill="auto"/>
            <w:vAlign w:val="center"/>
          </w:tcPr>
          <w:p w14:paraId="59FAF1D2">
            <w:pPr>
              <w:widowControl/>
              <w:spacing w:line="240" w:lineRule="exact"/>
              <w:jc w:val="left"/>
              <w:textAlignment w:val="center"/>
              <w:rPr>
                <w:rFonts w:hint="eastAsia" w:ascii="仿宋_GB2312" w:hAnsi="宋体" w:eastAsia="仿宋_GB2312" w:cs="仿宋_GB2312"/>
                <w:color w:val="FF0000"/>
                <w:kern w:val="0"/>
                <w:sz w:val="18"/>
                <w:szCs w:val="18"/>
              </w:rPr>
            </w:pPr>
            <w:bookmarkStart w:id="0" w:name="_GoBack"/>
            <w:r>
              <w:rPr>
                <w:rFonts w:hint="eastAsia" w:ascii="仿宋_GB2312" w:hAnsi="宋体" w:eastAsia="仿宋_GB2312" w:cs="仿宋_GB2312"/>
                <w:color w:val="FF0000"/>
                <w:kern w:val="0"/>
                <w:sz w:val="18"/>
                <w:szCs w:val="18"/>
              </w:rPr>
              <w:t>物业承接查验备案</w:t>
            </w:r>
            <w:bookmarkEnd w:id="0"/>
          </w:p>
        </w:tc>
        <w:tc>
          <w:tcPr>
            <w:tcW w:w="3118" w:type="dxa"/>
            <w:tcBorders>
              <w:tl2br w:val="nil"/>
              <w:tr2bl w:val="nil"/>
            </w:tcBorders>
            <w:shd w:val="clear" w:color="auto" w:fill="auto"/>
            <w:vAlign w:val="center"/>
          </w:tcPr>
          <w:p w14:paraId="163EFD60">
            <w:pPr>
              <w:widowControl/>
              <w:spacing w:line="240" w:lineRule="exact"/>
              <w:jc w:val="left"/>
              <w:textAlignment w:val="center"/>
              <w:rPr>
                <w:rFonts w:hint="eastAsia" w:ascii="仿宋_GB2312" w:hAnsi="宋体" w:eastAsia="仿宋_GB2312" w:cs="仿宋_GB2312"/>
                <w:color w:val="FF0000"/>
                <w:kern w:val="0"/>
                <w:sz w:val="18"/>
                <w:szCs w:val="18"/>
                <w:lang w:eastAsia="zh-CN"/>
              </w:rPr>
            </w:pPr>
            <w:r>
              <w:rPr>
                <w:rFonts w:hint="eastAsia" w:ascii="仿宋_GB2312" w:hAnsi="宋体" w:eastAsia="仿宋_GB2312" w:cs="仿宋_GB2312"/>
                <w:color w:val="FF0000"/>
                <w:kern w:val="0"/>
                <w:sz w:val="18"/>
                <w:szCs w:val="18"/>
                <w:lang w:eastAsia="zh-CN"/>
              </w:rPr>
              <w:t>《物业承接查验办法</w:t>
            </w:r>
          </w:p>
          <w:p w14:paraId="49B73AE4">
            <w:pPr>
              <w:widowControl/>
              <w:spacing w:line="240" w:lineRule="exact"/>
              <w:jc w:val="left"/>
              <w:textAlignment w:val="center"/>
              <w:rPr>
                <w:rFonts w:hint="eastAsia" w:ascii="仿宋_GB2312" w:hAnsi="宋体" w:eastAsia="仿宋_GB2312" w:cs="仿宋_GB2312"/>
                <w:color w:val="FF0000"/>
                <w:kern w:val="0"/>
                <w:sz w:val="18"/>
                <w:szCs w:val="18"/>
                <w:lang w:eastAsia="zh-CN"/>
              </w:rPr>
            </w:pPr>
            <w:r>
              <w:rPr>
                <w:rFonts w:hint="eastAsia" w:ascii="仿宋_GB2312" w:hAnsi="宋体" w:eastAsia="仿宋_GB2312" w:cs="仿宋_GB2312"/>
                <w:color w:val="FF0000"/>
                <w:kern w:val="0"/>
                <w:sz w:val="18"/>
                <w:szCs w:val="18"/>
                <w:lang w:eastAsia="zh-CN"/>
              </w:rPr>
              <w:t>》</w:t>
            </w:r>
          </w:p>
          <w:p w14:paraId="76998C55">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第二十九条　物业服务企业应当自物业交接后30日内，持下列文件向物业所在地的区、县（市）房地产行政主管部门办理备案手续：</w:t>
            </w:r>
          </w:p>
          <w:p w14:paraId="1483FA55">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（一）前期物业服务合同；</w:t>
            </w:r>
          </w:p>
          <w:p w14:paraId="4F70E95A">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（二）临时管理规约；</w:t>
            </w:r>
          </w:p>
          <w:p w14:paraId="07BFB7A5">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（三）物业承接查验协议；</w:t>
            </w:r>
          </w:p>
          <w:p w14:paraId="10FBE0D5">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（四）建设单位移交资料清单；</w:t>
            </w:r>
          </w:p>
          <w:p w14:paraId="40E4CB07">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（五）查验记录；</w:t>
            </w:r>
          </w:p>
          <w:p w14:paraId="4D3C119E">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（六）交接记录；</w:t>
            </w:r>
          </w:p>
          <w:p w14:paraId="13746F48">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（七）其他承接查验有关的文件。</w:t>
            </w:r>
          </w:p>
          <w:p w14:paraId="472ACD7D">
            <w:pPr>
              <w:widowControl/>
              <w:spacing w:line="240" w:lineRule="exact"/>
              <w:jc w:val="left"/>
              <w:textAlignment w:val="center"/>
              <w:rPr>
                <w:rFonts w:hint="eastAsia" w:ascii="仿宋_GB2312" w:hAnsi="宋体" w:eastAsia="仿宋_GB2312" w:cs="仿宋_GB2312"/>
                <w:color w:val="FF0000"/>
                <w:kern w:val="0"/>
                <w:sz w:val="18"/>
                <w:szCs w:val="18"/>
              </w:rPr>
            </w:pPr>
          </w:p>
        </w:tc>
        <w:tc>
          <w:tcPr>
            <w:tcW w:w="1315" w:type="dxa"/>
            <w:tcBorders>
              <w:tl2br w:val="nil"/>
              <w:tr2bl w:val="nil"/>
            </w:tcBorders>
            <w:shd w:val="clear" w:color="auto" w:fill="auto"/>
          </w:tcPr>
          <w:p w14:paraId="1DC42FBD">
            <w:pPr>
              <w:jc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785" w:type="dxa"/>
            <w:tcBorders>
              <w:tl2br w:val="nil"/>
              <w:tr2bl w:val="nil"/>
            </w:tcBorders>
            <w:shd w:val="clear" w:color="auto" w:fill="auto"/>
            <w:vAlign w:val="center"/>
          </w:tcPr>
          <w:p w14:paraId="580C56D4">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1.受理责任:公示依法应当提交的材料;一次性告知补正材料;</w:t>
            </w:r>
          </w:p>
          <w:p w14:paraId="1CD73602">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2.审查责任：审核有关材料，符合要求的，给予审核通过；</w:t>
            </w:r>
          </w:p>
          <w:p w14:paraId="50D03B26">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3.决定责任:做出申请人是否通过确认的决定；不符合要求的，应当书面通知申请人；</w:t>
            </w:r>
          </w:p>
          <w:p w14:paraId="63ACEC50">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4、其他法律法规规章文件规定应履行的责任。</w:t>
            </w:r>
          </w:p>
        </w:tc>
        <w:tc>
          <w:tcPr>
            <w:tcW w:w="3402" w:type="dxa"/>
            <w:tcBorders>
              <w:tl2br w:val="nil"/>
              <w:tr2bl w:val="nil"/>
            </w:tcBorders>
            <w:shd w:val="clear" w:color="auto" w:fill="auto"/>
            <w:vAlign w:val="center"/>
          </w:tcPr>
          <w:p w14:paraId="26D4C048">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因不履行或不正确履行行政职责，有下列情形的，行政机关及相关工作人员应承担相应责任：</w:t>
            </w:r>
          </w:p>
          <w:p w14:paraId="49961DE7">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1.对符合受理条件的申请不予受理的；</w:t>
            </w:r>
          </w:p>
          <w:p w14:paraId="268EC749">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2.未严格按照相关政策履行义</w:t>
            </w:r>
          </w:p>
          <w:p w14:paraId="0D1BB8AB">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务，对应当予以认定的不予认定，或者对不应认定的予以认定的；</w:t>
            </w:r>
          </w:p>
          <w:p w14:paraId="47FFC9A4">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3.未作出书面告知行为的；</w:t>
            </w:r>
          </w:p>
          <w:p w14:paraId="744E7C56">
            <w:pPr>
              <w:widowControl/>
              <w:spacing w:line="240" w:lineRule="exact"/>
              <w:jc w:val="left"/>
              <w:textAlignment w:val="center"/>
              <w:rPr>
                <w:rFonts w:hint="eastAsia" w:ascii="仿宋_GB2312" w:hAnsi="宋体" w:eastAsia="仿宋_GB2312" w:cs="仿宋_GB2312"/>
                <w:color w:val="FF0000"/>
                <w:kern w:val="0"/>
                <w:sz w:val="18"/>
                <w:szCs w:val="18"/>
              </w:rPr>
            </w:pPr>
            <w:r>
              <w:rPr>
                <w:rFonts w:hint="eastAsia" w:ascii="仿宋_GB2312" w:hAnsi="宋体" w:eastAsia="仿宋_GB2312" w:cs="仿宋_GB2312"/>
                <w:color w:val="FF0000"/>
                <w:kern w:val="0"/>
                <w:sz w:val="18"/>
                <w:szCs w:val="18"/>
              </w:rPr>
              <w:t>4、其他违反法律法规规章文件规定行为的</w:t>
            </w:r>
          </w:p>
        </w:tc>
        <w:tc>
          <w:tcPr>
            <w:tcW w:w="567" w:type="dxa"/>
            <w:tcBorders>
              <w:tl2br w:val="nil"/>
              <w:tr2bl w:val="nil"/>
            </w:tcBorders>
            <w:shd w:val="clear" w:color="auto" w:fill="auto"/>
            <w:vAlign w:val="center"/>
          </w:tcPr>
          <w:p w14:paraId="539C1871">
            <w:pPr>
              <w:spacing w:line="240" w:lineRule="exact"/>
              <w:jc w:val="center"/>
              <w:rPr>
                <w:rFonts w:ascii="仿宋_GB2312" w:hAnsi="仿宋_GB2312" w:eastAsia="仿宋_GB2312" w:cs="仿宋_GB2312"/>
                <w:color w:val="000000"/>
                <w:sz w:val="18"/>
                <w:szCs w:val="18"/>
              </w:rPr>
            </w:pPr>
          </w:p>
        </w:tc>
      </w:tr>
    </w:tbl>
    <w:p w14:paraId="615836DB"/>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docVars>
    <w:docVar w:name="commondata" w:val="eyJoZGlkIjoiYjU2ZGFiMzA1OTRkNDFlODU0YmY5Y2NjNmU1YWJmM2MifQ=="/>
  </w:docVars>
  <w:rsids>
    <w:rsidRoot w:val="39175951"/>
    <w:rsid w:val="0010708C"/>
    <w:rsid w:val="00145C30"/>
    <w:rsid w:val="00573A5D"/>
    <w:rsid w:val="00606B1F"/>
    <w:rsid w:val="00883985"/>
    <w:rsid w:val="008C4550"/>
    <w:rsid w:val="00995BC1"/>
    <w:rsid w:val="009D33A4"/>
    <w:rsid w:val="00B26215"/>
    <w:rsid w:val="00BB2239"/>
    <w:rsid w:val="00F64603"/>
    <w:rsid w:val="032916DF"/>
    <w:rsid w:val="39175951"/>
    <w:rsid w:val="66C35A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2"/>
    <w:uiPriority w:val="0"/>
    <w:pPr>
      <w:tabs>
        <w:tab w:val="center" w:pos="4153"/>
        <w:tab w:val="right" w:pos="8306"/>
      </w:tabs>
      <w:snapToGrid w:val="0"/>
      <w:jc w:val="left"/>
    </w:pPr>
    <w:rPr>
      <w:sz w:val="18"/>
      <w:szCs w:val="18"/>
    </w:rPr>
  </w:style>
  <w:style w:type="paragraph" w:styleId="4">
    <w:name w:val="header"/>
    <w:basedOn w:val="1"/>
    <w:link w:val="11"/>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customStyle="1" w:styleId="9">
    <w:name w:val="font41"/>
    <w:basedOn w:val="7"/>
    <w:qFormat/>
    <w:uiPriority w:val="0"/>
    <w:rPr>
      <w:rFonts w:hint="eastAsia" w:ascii="仿宋_GB2312" w:eastAsia="仿宋_GB2312" w:cs="仿宋_GB2312"/>
      <w:color w:val="000000"/>
      <w:sz w:val="16"/>
      <w:szCs w:val="16"/>
      <w:u w:val="none"/>
    </w:rPr>
  </w:style>
  <w:style w:type="character" w:customStyle="1" w:styleId="10">
    <w:name w:val="font01"/>
    <w:basedOn w:val="7"/>
    <w:qFormat/>
    <w:uiPriority w:val="0"/>
    <w:rPr>
      <w:rFonts w:hint="eastAsia" w:ascii="仿宋_GB2312" w:eastAsia="仿宋_GB2312" w:cs="仿宋_GB2312"/>
      <w:color w:val="FF0000"/>
      <w:sz w:val="16"/>
      <w:szCs w:val="16"/>
      <w:u w:val="none"/>
    </w:rPr>
  </w:style>
  <w:style w:type="character" w:customStyle="1" w:styleId="11">
    <w:name w:val="页眉 Char"/>
    <w:basedOn w:val="7"/>
    <w:link w:val="4"/>
    <w:uiPriority w:val="0"/>
    <w:rPr>
      <w:kern w:val="2"/>
      <w:sz w:val="18"/>
      <w:szCs w:val="18"/>
    </w:rPr>
  </w:style>
  <w:style w:type="character" w:customStyle="1" w:styleId="12">
    <w:name w:val="页脚 Char"/>
    <w:basedOn w:val="7"/>
    <w:link w:val="3"/>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Pages>
  <Words>12706</Words>
  <Characters>13129</Characters>
  <Lines>95</Lines>
  <Paragraphs>27</Paragraphs>
  <TotalTime>18</TotalTime>
  <ScaleCrop>false</ScaleCrop>
  <LinksUpToDate>false</LinksUpToDate>
  <CharactersWithSpaces>13184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2022-10-24T13:51:00Z</dcterms:created>
  <dc:creator>frank</dc:creator>
  <cp:lastModifiedBy>Administrator</cp:lastModifiedBy>
  <dcterms:modified xsi:type="dcterms:W3CDTF">2025-08-18T11:35:02Z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1E2B4573C18C479A93496585AC7DB459</vt:lpwstr>
  </property>
  <property fmtid="{D5CDD505-2E9C-101B-9397-08002B2CF9AE}" pid="4" name="KSOTemplateDocerSaveRecord">
    <vt:lpwstr>eyJoZGlkIjoiNzNjNzAzYWI4NTY5ZGRiYmIyZTMxMWFkMjc1MWI4Y2IifQ==</vt:lpwstr>
  </property>
</Properties>
</file>