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kern w:val="0"/>
          <w:sz w:val="44"/>
          <w:szCs w:val="44"/>
          <w:lang w:val="en-US" w:eastAsia="zh-CN"/>
        </w:rPr>
      </w:pPr>
      <w:r>
        <w:rPr>
          <w:rFonts w:hint="eastAsia" w:ascii="方正小标宋简体" w:hAnsi="方正小标宋简体" w:eastAsia="方正小标宋简体" w:cs="方正小标宋简体"/>
          <w:b w:val="0"/>
          <w:bCs w:val="0"/>
          <w:kern w:val="0"/>
          <w:sz w:val="44"/>
          <w:szCs w:val="44"/>
          <w:lang w:val="en-US" w:eastAsia="zh-CN"/>
        </w:rPr>
        <w:t>山海关区民政局</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宋体" w:cs="Times New Roman"/>
          <w:b/>
          <w:bCs/>
          <w:kern w:val="0"/>
          <w:sz w:val="24"/>
          <w:szCs w:val="24"/>
        </w:rPr>
      </w:pPr>
      <w:r>
        <w:rPr>
          <w:rFonts w:hint="eastAsia" w:ascii="方正小标宋简体" w:hAnsi="方正小标宋简体" w:eastAsia="方正小标宋简体" w:cs="方正小标宋简体"/>
          <w:b w:val="0"/>
          <w:bCs w:val="0"/>
          <w:kern w:val="0"/>
          <w:sz w:val="44"/>
          <w:szCs w:val="44"/>
          <w:lang w:val="en-US" w:eastAsia="zh-CN"/>
        </w:rPr>
        <w:t>2020年</w:t>
      </w:r>
      <w:r>
        <w:rPr>
          <w:rFonts w:hint="eastAsia" w:ascii="方正小标宋简体" w:hAnsi="方正小标宋简体" w:eastAsia="方正小标宋简体" w:cs="方正小标宋简体"/>
          <w:b w:val="0"/>
          <w:bCs w:val="0"/>
          <w:kern w:val="0"/>
          <w:sz w:val="44"/>
          <w:szCs w:val="44"/>
        </w:rPr>
        <w:t>政府信息公开工作年度报告</w:t>
      </w:r>
    </w:p>
    <w:p>
      <w:pPr>
        <w:widowControl/>
        <w:ind w:firstLine="480"/>
        <w:rPr>
          <w:rFonts w:ascii="宋体" w:cs="Times New Roman"/>
          <w:kern w:val="0"/>
          <w:sz w:val="24"/>
          <w:szCs w:val="24"/>
        </w:rPr>
      </w:pPr>
    </w:p>
    <w:p>
      <w:pPr>
        <w:widowControl/>
        <w:ind w:firstLine="480"/>
        <w:rPr>
          <w:rFonts w:ascii="宋体" w:cs="Times New Roman"/>
          <w:kern w:val="0"/>
          <w:sz w:val="24"/>
          <w:szCs w:val="24"/>
        </w:rPr>
      </w:pPr>
      <w:r>
        <w:rPr>
          <w:rFonts w:hint="eastAsia" w:ascii="黑体" w:hAnsi="黑体" w:eastAsia="黑体" w:cs="黑体"/>
          <w:kern w:val="0"/>
          <w:sz w:val="32"/>
          <w:szCs w:val="32"/>
        </w:rPr>
        <w:t>一、总体情况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2020年，</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局紧紧围绕区委、区政府工作中心，认真履行保障民生、发展民主、服务社会的职能，着力促进公平、维护稳定、增进和谐。在</w:t>
      </w:r>
      <w:r>
        <w:rPr>
          <w:rFonts w:hint="eastAsia" w:ascii="仿宋_GB2312" w:hAnsi="仿宋_GB2312" w:eastAsia="仿宋_GB2312" w:cs="仿宋_GB2312"/>
          <w:sz w:val="32"/>
          <w:szCs w:val="32"/>
          <w:lang w:eastAsia="zh-CN"/>
        </w:rPr>
        <w:t>区委区政府</w:t>
      </w:r>
      <w:r>
        <w:rPr>
          <w:rFonts w:hint="eastAsia" w:ascii="仿宋_GB2312" w:hAnsi="仿宋_GB2312" w:eastAsia="仿宋_GB2312" w:cs="仿宋_GB2312"/>
          <w:sz w:val="32"/>
          <w:szCs w:val="32"/>
        </w:rPr>
        <w:t>的大力支持和指导下，以信息公开网和门户网站为主要载体和渠道，切实抓好行政权力公开透明运行，着力完善公开机制、创新公开形式、强化公开责任，有力推进了政务信息公开工作的开展，并取得了良好成效</w:t>
      </w:r>
      <w:r>
        <w:rPr>
          <w:rFonts w:hint="eastAsia" w:ascii="仿宋_GB2312" w:hAnsi="仿宋_GB2312" w:eastAsia="仿宋_GB2312" w:cs="仿宋_GB2312"/>
          <w:sz w:val="32"/>
          <w:szCs w:val="32"/>
          <w:lang w:eastAsia="zh-CN"/>
        </w:rPr>
        <w:t>。</w:t>
      </w:r>
      <w:r>
        <w:rPr>
          <w:rFonts w:hint="eastAsia" w:ascii="楷体_GB2312" w:hAnsi="楷体_GB2312" w:eastAsia="楷体_GB2312" w:cs="楷体_GB2312"/>
          <w:sz w:val="32"/>
          <w:szCs w:val="32"/>
          <w:lang w:eastAsia="zh-CN"/>
        </w:rPr>
        <w:t>一是政务公开规划化。</w:t>
      </w:r>
      <w:r>
        <w:rPr>
          <w:rFonts w:hint="eastAsia" w:ascii="仿宋_GB2312" w:hAnsi="仿宋_GB2312" w:eastAsia="仿宋_GB2312" w:cs="仿宋_GB2312"/>
          <w:sz w:val="32"/>
          <w:szCs w:val="32"/>
        </w:rPr>
        <w:t>把</w:t>
      </w:r>
      <w:r>
        <w:rPr>
          <w:rFonts w:hint="eastAsia" w:ascii="仿宋_GB2312" w:hAnsi="仿宋_GB2312" w:eastAsia="仿宋_GB2312" w:cs="仿宋_GB2312"/>
          <w:sz w:val="32"/>
          <w:szCs w:val="32"/>
          <w:lang w:eastAsia="zh-CN"/>
        </w:rPr>
        <w:t>山海关</w:t>
      </w:r>
      <w:r>
        <w:rPr>
          <w:rFonts w:hint="eastAsia" w:ascii="仿宋_GB2312" w:hAnsi="仿宋_GB2312" w:eastAsia="仿宋_GB2312" w:cs="仿宋_GB2312"/>
          <w:sz w:val="32"/>
          <w:szCs w:val="32"/>
        </w:rPr>
        <w:t>区信息公开网作为我局信息公开的主要载体和第一平台。按区政府的要求</w:t>
      </w:r>
      <w:r>
        <w:rPr>
          <w:rFonts w:hint="eastAsia" w:ascii="仿宋_GB2312" w:hAnsi="仿宋_GB2312" w:eastAsia="仿宋_GB2312" w:cs="仿宋_GB2312"/>
          <w:sz w:val="32"/>
          <w:szCs w:val="32"/>
          <w:lang w:eastAsia="zh-CN"/>
        </w:rPr>
        <w:t>，每日录入领导工作动态，更新机关简介，发布部门动态，公开部门预算（决算），制定公开清单、负面清单，</w:t>
      </w:r>
      <w:r>
        <w:rPr>
          <w:rFonts w:hint="eastAsia" w:ascii="仿宋_GB2312" w:hAnsi="仿宋_GB2312" w:eastAsia="仿宋_GB2312" w:cs="仿宋_GB2312"/>
          <w:sz w:val="32"/>
          <w:szCs w:val="32"/>
        </w:rPr>
        <w:t>进一步提高工作的透明度，促进依法行政，更好地为人民群众服务。</w:t>
      </w:r>
      <w:r>
        <w:rPr>
          <w:rFonts w:hint="eastAsia" w:ascii="楷体_GB2312" w:hAnsi="楷体_GB2312" w:eastAsia="楷体_GB2312" w:cs="楷体_GB2312"/>
          <w:sz w:val="32"/>
          <w:szCs w:val="32"/>
          <w:lang w:eastAsia="zh-CN"/>
        </w:rPr>
        <w:t>二是</w:t>
      </w:r>
      <w:r>
        <w:rPr>
          <w:rFonts w:hint="eastAsia" w:ascii="楷体_GB2312" w:hAnsi="楷体_GB2312" w:eastAsia="楷体_GB2312" w:cs="楷体_GB2312"/>
          <w:sz w:val="32"/>
          <w:szCs w:val="32"/>
        </w:rPr>
        <w:t>主动公开政府</w:t>
      </w:r>
      <w:r>
        <w:rPr>
          <w:rFonts w:hint="eastAsia" w:ascii="楷体_GB2312" w:hAnsi="楷体_GB2312" w:eastAsia="楷体_GB2312" w:cs="楷体_GB2312"/>
          <w:sz w:val="32"/>
          <w:szCs w:val="32"/>
          <w:lang w:eastAsia="zh-CN"/>
        </w:rPr>
        <w:t>信息。</w:t>
      </w:r>
      <w:r>
        <w:rPr>
          <w:rFonts w:hint="eastAsia" w:ascii="仿宋_GB2312" w:hAnsi="仿宋_GB2312" w:eastAsia="仿宋_GB2312" w:cs="仿宋_GB2312"/>
          <w:sz w:val="32"/>
          <w:szCs w:val="32"/>
        </w:rPr>
        <w:t>2020年，我局全年累计主动公开政府信息近</w:t>
      </w:r>
      <w:r>
        <w:rPr>
          <w:rFonts w:hint="eastAsia" w:ascii="仿宋_GB2312" w:hAnsi="仿宋_GB2312" w:eastAsia="仿宋_GB2312" w:cs="仿宋_GB2312"/>
          <w:sz w:val="32"/>
          <w:szCs w:val="32"/>
          <w:lang w:eastAsia="zh-CN"/>
        </w:rPr>
        <w:t>百余</w:t>
      </w:r>
      <w:r>
        <w:rPr>
          <w:rFonts w:hint="eastAsia" w:ascii="仿宋_GB2312" w:hAnsi="仿宋_GB2312" w:eastAsia="仿宋_GB2312" w:cs="仿宋_GB2312"/>
          <w:sz w:val="32"/>
          <w:szCs w:val="32"/>
        </w:rPr>
        <w:t>条，民政工作面广量大，我局针对不同的服务对象，按照相关要求，积极拓展公开渠道，及时调整、更新、扩充公开内容，认真做好民政信息主动公开工作。主动公开的政府信息有：</w:t>
      </w:r>
      <w:r>
        <w:rPr>
          <w:rFonts w:hint="eastAsia" w:ascii="仿宋_GB2312" w:hAnsi="仿宋_GB2312" w:eastAsia="仿宋_GB2312" w:cs="仿宋_GB2312"/>
          <w:sz w:val="32"/>
          <w:szCs w:val="32"/>
          <w:lang w:eastAsia="zh-CN"/>
        </w:rPr>
        <w:t>更新机关简介</w:t>
      </w:r>
      <w:r>
        <w:rPr>
          <w:rFonts w:hint="eastAsia" w:ascii="仿宋_GB2312" w:hAnsi="仿宋_GB2312" w:eastAsia="仿宋_GB2312" w:cs="仿宋_GB2312"/>
          <w:sz w:val="32"/>
          <w:szCs w:val="32"/>
          <w:lang w:val="en-US" w:eastAsia="zh-CN"/>
        </w:rPr>
        <w:t>1条，</w:t>
      </w:r>
      <w:r>
        <w:rPr>
          <w:rFonts w:hint="eastAsia" w:ascii="仿宋_GB2312" w:hAnsi="仿宋_GB2312" w:eastAsia="仿宋_GB2312" w:cs="仿宋_GB2312"/>
          <w:sz w:val="32"/>
          <w:szCs w:val="32"/>
          <w:lang w:eastAsia="zh-CN"/>
        </w:rPr>
        <w:t>部门动态</w:t>
      </w:r>
      <w:r>
        <w:rPr>
          <w:rFonts w:hint="eastAsia" w:ascii="仿宋_GB2312" w:hAnsi="仿宋_GB2312" w:eastAsia="仿宋_GB2312" w:cs="仿宋_GB2312"/>
          <w:sz w:val="32"/>
          <w:szCs w:val="32"/>
          <w:lang w:val="en-US" w:eastAsia="zh-CN"/>
        </w:rPr>
        <w:t>17条，</w:t>
      </w:r>
      <w:r>
        <w:rPr>
          <w:rFonts w:hint="eastAsia" w:ascii="仿宋_GB2312" w:hAnsi="仿宋_GB2312" w:eastAsia="仿宋_GB2312" w:cs="仿宋_GB2312"/>
          <w:sz w:val="32"/>
          <w:szCs w:val="32"/>
          <w:lang w:eastAsia="zh-CN"/>
        </w:rPr>
        <w:t>局长每日</w:t>
      </w:r>
      <w:r>
        <w:rPr>
          <w:rFonts w:hint="eastAsia" w:ascii="仿宋_GB2312" w:hAnsi="仿宋_GB2312" w:eastAsia="仿宋_GB2312" w:cs="仿宋_GB2312"/>
          <w:sz w:val="32"/>
          <w:szCs w:val="32"/>
        </w:rPr>
        <w:t>工作动态</w:t>
      </w:r>
      <w:r>
        <w:rPr>
          <w:rFonts w:hint="eastAsia" w:ascii="仿宋_GB2312" w:hAnsi="仿宋_GB2312" w:eastAsia="仿宋_GB2312" w:cs="仿宋_GB2312"/>
          <w:sz w:val="32"/>
          <w:szCs w:val="32"/>
          <w:lang w:eastAsia="zh-CN"/>
        </w:rPr>
        <w:t>百余条，</w:t>
      </w:r>
      <w:r>
        <w:rPr>
          <w:rFonts w:hint="eastAsia" w:ascii="仿宋_GB2312" w:hAnsi="仿宋_GB2312" w:eastAsia="仿宋_GB2312" w:cs="仿宋_GB2312"/>
          <w:sz w:val="32"/>
          <w:szCs w:val="32"/>
        </w:rPr>
        <w:t>财务预算</w:t>
      </w:r>
      <w:r>
        <w:rPr>
          <w:rFonts w:hint="eastAsia" w:ascii="仿宋_GB2312" w:hAnsi="仿宋_GB2312" w:eastAsia="仿宋_GB2312" w:cs="仿宋_GB2312"/>
          <w:sz w:val="32"/>
          <w:szCs w:val="32"/>
          <w:lang w:val="en-US" w:eastAsia="zh-CN"/>
        </w:rPr>
        <w:t>3条，通知公告3条，公告公示6条</w:t>
      </w:r>
      <w:r>
        <w:rPr>
          <w:rFonts w:hint="eastAsia" w:ascii="仿宋_GB2312" w:hAnsi="仿宋_GB2312" w:eastAsia="仿宋_GB2312" w:cs="仿宋_GB2312"/>
          <w:sz w:val="32"/>
          <w:szCs w:val="32"/>
          <w:lang w:eastAsia="zh-CN"/>
        </w:rPr>
        <w:t>。</w:t>
      </w:r>
    </w:p>
    <w:p>
      <w:pPr>
        <w:widowControl/>
        <w:spacing w:after="240"/>
        <w:ind w:firstLine="480"/>
        <w:rPr>
          <w:rFonts w:hint="eastAsia" w:ascii="宋体" w:hAnsi="宋体" w:cs="宋体"/>
          <w:kern w:val="0"/>
          <w:sz w:val="24"/>
          <w:szCs w:val="24"/>
        </w:rPr>
      </w:pPr>
    </w:p>
    <w:p>
      <w:pPr>
        <w:widowControl/>
        <w:spacing w:after="240"/>
        <w:ind w:firstLine="480"/>
        <w:rPr>
          <w:rFonts w:ascii="宋体" w:cs="Times New Roman"/>
          <w:kern w:val="0"/>
          <w:sz w:val="24"/>
          <w:szCs w:val="24"/>
        </w:rPr>
      </w:pPr>
      <w:r>
        <w:rPr>
          <w:rFonts w:hint="eastAsia" w:ascii="黑体" w:hAnsi="黑体" w:eastAsia="黑体" w:cs="黑体"/>
          <w:kern w:val="0"/>
          <w:sz w:val="32"/>
          <w:szCs w:val="32"/>
        </w:rPr>
        <w:t>二、主动公开政府信息情况</w:t>
      </w:r>
    </w:p>
    <w:tbl>
      <w:tblPr>
        <w:tblStyle w:val="9"/>
        <w:tblW w:w="8140" w:type="dxa"/>
        <w:jc w:val="center"/>
        <w:tblLayout w:type="autofit"/>
        <w:tblCellMar>
          <w:top w:w="0" w:type="dxa"/>
          <w:left w:w="108" w:type="dxa"/>
          <w:bottom w:w="0" w:type="dxa"/>
          <w:right w:w="108" w:type="dxa"/>
        </w:tblCellMar>
      </w:tblPr>
      <w:tblGrid>
        <w:gridCol w:w="3113"/>
        <w:gridCol w:w="1875"/>
        <w:gridCol w:w="6"/>
        <w:gridCol w:w="1265"/>
        <w:gridCol w:w="1881"/>
      </w:tblGrid>
      <w:tr>
        <w:tblPrEx>
          <w:tblCellMar>
            <w:top w:w="0" w:type="dxa"/>
            <w:left w:w="108" w:type="dxa"/>
            <w:bottom w:w="0" w:type="dxa"/>
            <w:right w:w="108" w:type="dxa"/>
          </w:tblCellMar>
        </w:tblPrEx>
        <w:trPr>
          <w:trHeight w:val="495" w:hRule="atLeast"/>
          <w:jc w:val="center"/>
        </w:trPr>
        <w:tc>
          <w:tcPr>
            <w:tcW w:w="8140" w:type="dxa"/>
            <w:gridSpan w:val="5"/>
            <w:tcBorders>
              <w:top w:val="single" w:color="auto" w:sz="4" w:space="0"/>
              <w:left w:val="single" w:color="auto" w:sz="4" w:space="0"/>
              <w:bottom w:val="single" w:color="auto" w:sz="4" w:space="0"/>
              <w:right w:val="single" w:color="auto" w:sz="4" w:space="0"/>
            </w:tcBorders>
            <w:shd w:val="clear" w:color="auto" w:fill="C6D9F1"/>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第二十条第（一）项</w:t>
            </w:r>
          </w:p>
        </w:tc>
      </w:tr>
      <w:tr>
        <w:tblPrEx>
          <w:tblCellMar>
            <w:top w:w="0" w:type="dxa"/>
            <w:left w:w="108" w:type="dxa"/>
            <w:bottom w:w="0" w:type="dxa"/>
            <w:right w:w="108" w:type="dxa"/>
          </w:tblCellMar>
        </w:tblPrEx>
        <w:trPr>
          <w:trHeight w:val="882"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信息内容</w:t>
            </w:r>
          </w:p>
        </w:tc>
        <w:tc>
          <w:tcPr>
            <w:tcW w:w="1875" w:type="dxa"/>
            <w:tcBorders>
              <w:top w:val="single" w:color="auto" w:sz="4" w:space="0"/>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本年新</w:t>
            </w:r>
            <w:r>
              <w:rPr>
                <w:rFonts w:ascii="宋体" w:cs="Times New Roman"/>
                <w:color w:val="000000"/>
                <w:kern w:val="0"/>
                <w:sz w:val="20"/>
                <w:szCs w:val="20"/>
              </w:rPr>
              <w:br w:type="textWrapping"/>
            </w:r>
            <w:r>
              <w:rPr>
                <w:rFonts w:hint="eastAsia" w:ascii="宋体" w:hAnsi="宋体" w:cs="宋体"/>
                <w:kern w:val="0"/>
                <w:sz w:val="20"/>
                <w:szCs w:val="20"/>
              </w:rPr>
              <w:t>制作数量</w:t>
            </w:r>
          </w:p>
        </w:tc>
        <w:tc>
          <w:tcPr>
            <w:tcW w:w="1271" w:type="dxa"/>
            <w:gridSpan w:val="2"/>
            <w:tcBorders>
              <w:top w:val="single" w:color="auto" w:sz="4" w:space="0"/>
              <w:left w:val="nil"/>
              <w:bottom w:val="single" w:color="auto" w:sz="4" w:space="0"/>
              <w:right w:val="single" w:color="auto" w:sz="4" w:space="0"/>
            </w:tcBorders>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本年新</w:t>
            </w:r>
            <w:r>
              <w:rPr>
                <w:rFonts w:ascii="宋体" w:cs="Times New Roman"/>
                <w:color w:val="000000"/>
                <w:kern w:val="0"/>
                <w:sz w:val="20"/>
                <w:szCs w:val="20"/>
              </w:rPr>
              <w:br w:type="textWrapping"/>
            </w:r>
            <w:r>
              <w:rPr>
                <w:rFonts w:hint="eastAsia" w:ascii="宋体" w:hAnsi="宋体" w:cs="宋体"/>
                <w:kern w:val="0"/>
                <w:sz w:val="20"/>
                <w:szCs w:val="20"/>
              </w:rPr>
              <w:t>公开数量</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对外公开总数量</w:t>
            </w:r>
          </w:p>
        </w:tc>
      </w:tr>
      <w:tr>
        <w:tblPrEx>
          <w:tblCellMar>
            <w:top w:w="0" w:type="dxa"/>
            <w:left w:w="108" w:type="dxa"/>
            <w:bottom w:w="0" w:type="dxa"/>
            <w:right w:w="108" w:type="dxa"/>
          </w:tblCellMar>
        </w:tblPrEx>
        <w:trPr>
          <w:trHeight w:val="523"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规章</w:t>
            </w:r>
          </w:p>
        </w:tc>
        <w:tc>
          <w:tcPr>
            <w:tcW w:w="1875" w:type="dxa"/>
            <w:tcBorders>
              <w:top w:val="single" w:color="auto" w:sz="4" w:space="0"/>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hAnsi="宋体" w:cs="宋体"/>
                <w:color w:val="000000"/>
                <w:kern w:val="0"/>
                <w:sz w:val="24"/>
                <w:szCs w:val="24"/>
                <w:lang w:val="en-US" w:eastAsia="zh-CN"/>
              </w:rPr>
              <w:t>0</w:t>
            </w:r>
          </w:p>
        </w:tc>
        <w:tc>
          <w:tcPr>
            <w:tcW w:w="1271" w:type="dxa"/>
            <w:gridSpan w:val="2"/>
            <w:tcBorders>
              <w:top w:val="single" w:color="auto" w:sz="4" w:space="0"/>
              <w:left w:val="nil"/>
              <w:bottom w:val="single" w:color="auto" w:sz="4" w:space="0"/>
              <w:right w:val="single" w:color="auto" w:sz="4" w:space="0"/>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cs="Times New Roman"/>
                <w:color w:val="000000"/>
                <w:kern w:val="0"/>
                <w:sz w:val="24"/>
                <w:szCs w:val="24"/>
                <w:lang w:val="en-US" w:eastAsia="zh-CN"/>
              </w:rPr>
              <w:t>0</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hAnsi="宋体" w:cs="宋体"/>
                <w:color w:val="000000"/>
                <w:kern w:val="0"/>
                <w:sz w:val="24"/>
                <w:szCs w:val="24"/>
                <w:lang w:val="en-US" w:eastAsia="zh-CN"/>
              </w:rPr>
              <w:t>0</w:t>
            </w:r>
          </w:p>
        </w:tc>
      </w:tr>
      <w:tr>
        <w:tblPrEx>
          <w:tblCellMar>
            <w:top w:w="0" w:type="dxa"/>
            <w:left w:w="108" w:type="dxa"/>
            <w:bottom w:w="0" w:type="dxa"/>
            <w:right w:w="108" w:type="dxa"/>
          </w:tblCellMar>
        </w:tblPrEx>
        <w:trPr>
          <w:trHeight w:val="471"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规范性文件</w:t>
            </w:r>
          </w:p>
        </w:tc>
        <w:tc>
          <w:tcPr>
            <w:tcW w:w="1875"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hAnsi="宋体" w:cs="宋体"/>
                <w:color w:val="000000"/>
                <w:kern w:val="0"/>
                <w:sz w:val="24"/>
                <w:szCs w:val="24"/>
                <w:lang w:val="en-US" w:eastAsia="zh-CN"/>
              </w:rPr>
              <w:t>0</w:t>
            </w:r>
          </w:p>
        </w:tc>
        <w:tc>
          <w:tcPr>
            <w:tcW w:w="1271" w:type="dxa"/>
            <w:gridSpan w:val="2"/>
            <w:tcBorders>
              <w:top w:val="nil"/>
              <w:left w:val="nil"/>
              <w:bottom w:val="single" w:color="auto" w:sz="4" w:space="0"/>
              <w:right w:val="single" w:color="auto" w:sz="4" w:space="0"/>
            </w:tcBorders>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cs="Times New Roman"/>
                <w:color w:val="000000"/>
                <w:kern w:val="0"/>
                <w:sz w:val="24"/>
                <w:szCs w:val="24"/>
                <w:lang w:val="en-US" w:eastAsia="zh-CN"/>
              </w:rPr>
              <w:t>0</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hAnsi="宋体" w:cs="宋体"/>
                <w:color w:val="000000"/>
                <w:kern w:val="0"/>
                <w:sz w:val="24"/>
                <w:szCs w:val="24"/>
                <w:lang w:val="en-US" w:eastAsia="zh-CN"/>
              </w:rPr>
              <w:t>0</w:t>
            </w:r>
          </w:p>
        </w:tc>
      </w:tr>
      <w:tr>
        <w:tblPrEx>
          <w:tblCellMar>
            <w:top w:w="0" w:type="dxa"/>
            <w:left w:w="108" w:type="dxa"/>
            <w:bottom w:w="0" w:type="dxa"/>
            <w:right w:w="108" w:type="dxa"/>
          </w:tblCellMar>
        </w:tblPrEx>
        <w:trPr>
          <w:trHeight w:val="480" w:hRule="atLeast"/>
          <w:jc w:val="center"/>
        </w:trPr>
        <w:tc>
          <w:tcPr>
            <w:tcW w:w="8140" w:type="dxa"/>
            <w:gridSpan w:val="5"/>
            <w:tcBorders>
              <w:top w:val="single" w:color="auto" w:sz="4" w:space="0"/>
              <w:left w:val="single" w:color="auto" w:sz="4" w:space="0"/>
              <w:bottom w:val="single" w:color="auto" w:sz="4" w:space="0"/>
              <w:right w:val="single" w:color="auto" w:sz="4" w:space="0"/>
            </w:tcBorders>
            <w:shd w:val="clear" w:color="auto" w:fill="C6D9F1"/>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第二十条第（五）项</w:t>
            </w:r>
          </w:p>
        </w:tc>
      </w:tr>
      <w:tr>
        <w:tblPrEx>
          <w:tblCellMar>
            <w:top w:w="0" w:type="dxa"/>
            <w:left w:w="108" w:type="dxa"/>
            <w:bottom w:w="0" w:type="dxa"/>
            <w:right w:w="108" w:type="dxa"/>
          </w:tblCellMar>
        </w:tblPrEx>
        <w:trPr>
          <w:trHeight w:val="634"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信息内容</w:t>
            </w:r>
          </w:p>
        </w:tc>
        <w:tc>
          <w:tcPr>
            <w:tcW w:w="1875" w:type="dxa"/>
            <w:tcBorders>
              <w:top w:val="single" w:color="auto" w:sz="4" w:space="0"/>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上一年项目数量</w:t>
            </w:r>
          </w:p>
        </w:tc>
        <w:tc>
          <w:tcPr>
            <w:tcW w:w="1271" w:type="dxa"/>
            <w:gridSpan w:val="2"/>
            <w:tcBorders>
              <w:top w:val="single" w:color="auto" w:sz="4" w:space="0"/>
              <w:left w:val="nil"/>
              <w:bottom w:val="single" w:color="auto" w:sz="4" w:space="0"/>
              <w:right w:val="single" w:color="auto" w:sz="4" w:space="0"/>
            </w:tcBorders>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本年增</w:t>
            </w:r>
            <w:r>
              <w:rPr>
                <w:rFonts w:ascii="宋体" w:hAnsi="宋体" w:cs="宋体"/>
                <w:color w:val="000000"/>
                <w:kern w:val="0"/>
                <w:sz w:val="20"/>
                <w:szCs w:val="20"/>
              </w:rPr>
              <w:t>/</w:t>
            </w:r>
            <w:r>
              <w:rPr>
                <w:rFonts w:hint="eastAsia" w:ascii="宋体" w:hAnsi="宋体" w:cs="宋体"/>
                <w:color w:val="000000"/>
                <w:kern w:val="0"/>
                <w:sz w:val="20"/>
                <w:szCs w:val="20"/>
              </w:rPr>
              <w:t>减</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处理决定数量</w:t>
            </w:r>
          </w:p>
        </w:tc>
      </w:tr>
      <w:tr>
        <w:tblPrEx>
          <w:tblCellMar>
            <w:top w:w="0" w:type="dxa"/>
            <w:left w:w="108" w:type="dxa"/>
            <w:bottom w:w="0" w:type="dxa"/>
            <w:right w:w="108" w:type="dxa"/>
          </w:tblCellMar>
        </w:tblPrEx>
        <w:trPr>
          <w:trHeight w:val="528"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行政许可</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265"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tblPrEx>
          <w:tblCellMar>
            <w:top w:w="0" w:type="dxa"/>
            <w:left w:w="108" w:type="dxa"/>
            <w:bottom w:w="0" w:type="dxa"/>
            <w:right w:w="108" w:type="dxa"/>
          </w:tblCellMar>
        </w:tblPrEx>
        <w:trPr>
          <w:trHeight w:val="550"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其他对外管理服务事项</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265"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tblPrEx>
          <w:tblCellMar>
            <w:top w:w="0" w:type="dxa"/>
            <w:left w:w="108" w:type="dxa"/>
            <w:bottom w:w="0" w:type="dxa"/>
            <w:right w:w="108" w:type="dxa"/>
          </w:tblCellMar>
        </w:tblPrEx>
        <w:trPr>
          <w:trHeight w:val="406" w:hRule="atLeast"/>
          <w:jc w:val="center"/>
        </w:trPr>
        <w:tc>
          <w:tcPr>
            <w:tcW w:w="8140" w:type="dxa"/>
            <w:gridSpan w:val="5"/>
            <w:tcBorders>
              <w:top w:val="single" w:color="auto" w:sz="4" w:space="0"/>
              <w:left w:val="single" w:color="auto" w:sz="4" w:space="0"/>
              <w:bottom w:val="single" w:color="auto" w:sz="4" w:space="0"/>
              <w:right w:val="single" w:color="auto" w:sz="4" w:space="0"/>
            </w:tcBorders>
            <w:shd w:val="clear" w:color="auto" w:fill="C6D9F1"/>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第二十条第（六）项</w:t>
            </w:r>
          </w:p>
        </w:tc>
      </w:tr>
      <w:tr>
        <w:tblPrEx>
          <w:tblCellMar>
            <w:top w:w="0" w:type="dxa"/>
            <w:left w:w="108" w:type="dxa"/>
            <w:bottom w:w="0" w:type="dxa"/>
            <w:right w:w="108" w:type="dxa"/>
          </w:tblCellMar>
        </w:tblPrEx>
        <w:trPr>
          <w:trHeight w:val="634"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信息内容</w:t>
            </w:r>
          </w:p>
        </w:tc>
        <w:tc>
          <w:tcPr>
            <w:tcW w:w="1875" w:type="dxa"/>
            <w:tcBorders>
              <w:top w:val="single" w:color="auto" w:sz="4" w:space="0"/>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上一年项目数量</w:t>
            </w:r>
          </w:p>
        </w:tc>
        <w:tc>
          <w:tcPr>
            <w:tcW w:w="1271" w:type="dxa"/>
            <w:gridSpan w:val="2"/>
            <w:tcBorders>
              <w:top w:val="single" w:color="auto" w:sz="4" w:space="0"/>
              <w:left w:val="nil"/>
              <w:bottom w:val="single" w:color="auto" w:sz="4" w:space="0"/>
              <w:right w:val="single" w:color="auto" w:sz="4" w:space="0"/>
            </w:tcBorders>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本年增</w:t>
            </w:r>
            <w:r>
              <w:rPr>
                <w:rFonts w:ascii="宋体" w:hAnsi="宋体" w:cs="宋体"/>
                <w:color w:val="000000"/>
                <w:kern w:val="0"/>
                <w:sz w:val="20"/>
                <w:szCs w:val="20"/>
              </w:rPr>
              <w:t>/</w:t>
            </w:r>
            <w:r>
              <w:rPr>
                <w:rFonts w:hint="eastAsia" w:ascii="宋体" w:hAnsi="宋体" w:cs="宋体"/>
                <w:color w:val="000000"/>
                <w:kern w:val="0"/>
                <w:sz w:val="20"/>
                <w:szCs w:val="20"/>
              </w:rPr>
              <w:t>减</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处理决定数量</w:t>
            </w:r>
          </w:p>
        </w:tc>
      </w:tr>
      <w:tr>
        <w:tblPrEx>
          <w:tblCellMar>
            <w:top w:w="0" w:type="dxa"/>
            <w:left w:w="108" w:type="dxa"/>
            <w:bottom w:w="0" w:type="dxa"/>
            <w:right w:w="108" w:type="dxa"/>
          </w:tblCellMar>
        </w:tblPrEx>
        <w:trPr>
          <w:trHeight w:val="430"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行政处罚</w:t>
            </w:r>
          </w:p>
        </w:tc>
        <w:tc>
          <w:tcPr>
            <w:tcW w:w="1881" w:type="dxa"/>
            <w:gridSpan w:val="2"/>
            <w:tcBorders>
              <w:top w:val="single" w:color="auto" w:sz="4" w:space="0"/>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hAnsi="宋体" w:cs="宋体"/>
                <w:color w:val="000000"/>
                <w:kern w:val="0"/>
                <w:sz w:val="24"/>
                <w:szCs w:val="24"/>
                <w:lang w:val="en-US" w:eastAsia="zh-CN"/>
              </w:rPr>
              <w:t>0</w:t>
            </w:r>
          </w:p>
        </w:tc>
        <w:tc>
          <w:tcPr>
            <w:tcW w:w="1265" w:type="dxa"/>
            <w:tcBorders>
              <w:top w:val="single" w:color="auto" w:sz="4" w:space="0"/>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hAnsi="宋体" w:cs="宋体"/>
                <w:color w:val="000000"/>
                <w:kern w:val="0"/>
                <w:sz w:val="24"/>
                <w:szCs w:val="24"/>
                <w:lang w:val="en-US" w:eastAsia="zh-CN"/>
              </w:rPr>
              <w:t>0</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hAnsi="宋体" w:cs="宋体"/>
                <w:color w:val="000000"/>
                <w:kern w:val="0"/>
                <w:sz w:val="24"/>
                <w:szCs w:val="24"/>
                <w:lang w:val="en-US" w:eastAsia="zh-CN"/>
              </w:rPr>
              <w:t>0</w:t>
            </w:r>
          </w:p>
        </w:tc>
      </w:tr>
      <w:tr>
        <w:tblPrEx>
          <w:tblCellMar>
            <w:top w:w="0" w:type="dxa"/>
            <w:left w:w="108" w:type="dxa"/>
            <w:bottom w:w="0" w:type="dxa"/>
            <w:right w:w="108" w:type="dxa"/>
          </w:tblCellMar>
        </w:tblPrEx>
        <w:trPr>
          <w:trHeight w:val="409"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行政强制</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hAnsi="宋体" w:cs="宋体"/>
                <w:color w:val="000000"/>
                <w:kern w:val="0"/>
                <w:sz w:val="24"/>
                <w:szCs w:val="24"/>
                <w:lang w:val="en-US" w:eastAsia="zh-CN"/>
              </w:rPr>
              <w:t>0</w:t>
            </w:r>
          </w:p>
        </w:tc>
        <w:tc>
          <w:tcPr>
            <w:tcW w:w="1265"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hAnsi="宋体" w:cs="宋体"/>
                <w:color w:val="000000"/>
                <w:kern w:val="0"/>
                <w:sz w:val="24"/>
                <w:szCs w:val="24"/>
                <w:lang w:val="en-US" w:eastAsia="zh-CN"/>
              </w:rPr>
              <w:t>0</w:t>
            </w:r>
          </w:p>
        </w:tc>
        <w:tc>
          <w:tcPr>
            <w:tcW w:w="1881" w:type="dxa"/>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hAnsi="宋体" w:cs="宋体"/>
                <w:color w:val="000000"/>
                <w:kern w:val="0"/>
                <w:sz w:val="24"/>
                <w:szCs w:val="24"/>
                <w:lang w:val="en-US" w:eastAsia="zh-CN"/>
              </w:rPr>
              <w:t>0</w:t>
            </w:r>
          </w:p>
        </w:tc>
      </w:tr>
      <w:tr>
        <w:tblPrEx>
          <w:tblCellMar>
            <w:top w:w="0" w:type="dxa"/>
            <w:left w:w="108" w:type="dxa"/>
            <w:bottom w:w="0" w:type="dxa"/>
            <w:right w:w="108" w:type="dxa"/>
          </w:tblCellMar>
        </w:tblPrEx>
        <w:trPr>
          <w:trHeight w:val="474" w:hRule="atLeast"/>
          <w:jc w:val="center"/>
        </w:trPr>
        <w:tc>
          <w:tcPr>
            <w:tcW w:w="8140" w:type="dxa"/>
            <w:gridSpan w:val="5"/>
            <w:tcBorders>
              <w:top w:val="single" w:color="auto" w:sz="4" w:space="0"/>
              <w:left w:val="single" w:color="auto" w:sz="4" w:space="0"/>
              <w:bottom w:val="single" w:color="auto" w:sz="4" w:space="0"/>
              <w:right w:val="single" w:color="auto" w:sz="4" w:space="0"/>
            </w:tcBorders>
            <w:shd w:val="clear" w:color="auto" w:fill="C6D9F1"/>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第二十条第（八）项</w:t>
            </w:r>
          </w:p>
        </w:tc>
      </w:tr>
      <w:tr>
        <w:tblPrEx>
          <w:tblCellMar>
            <w:top w:w="0" w:type="dxa"/>
            <w:left w:w="108" w:type="dxa"/>
            <w:bottom w:w="0" w:type="dxa"/>
            <w:right w:w="108" w:type="dxa"/>
          </w:tblCellMar>
        </w:tblPrEx>
        <w:trPr>
          <w:trHeight w:val="270"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信息内容</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上一年项目数量</w:t>
            </w:r>
          </w:p>
        </w:tc>
        <w:tc>
          <w:tcPr>
            <w:tcW w:w="3146" w:type="dxa"/>
            <w:gridSpan w:val="2"/>
            <w:tcBorders>
              <w:top w:val="single" w:color="auto" w:sz="4" w:space="0"/>
              <w:left w:val="nil"/>
              <w:bottom w:val="single" w:color="auto" w:sz="4" w:space="0"/>
              <w:right w:val="single" w:color="000000"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本年增</w:t>
            </w:r>
            <w:r>
              <w:rPr>
                <w:rFonts w:ascii="宋体" w:hAnsi="宋体" w:cs="宋体"/>
                <w:color w:val="000000"/>
                <w:kern w:val="0"/>
                <w:sz w:val="20"/>
                <w:szCs w:val="20"/>
              </w:rPr>
              <w:t>/</w:t>
            </w:r>
            <w:r>
              <w:rPr>
                <w:rFonts w:hint="eastAsia" w:ascii="宋体" w:hAnsi="宋体" w:cs="宋体"/>
                <w:color w:val="000000"/>
                <w:kern w:val="0"/>
                <w:sz w:val="20"/>
                <w:szCs w:val="20"/>
              </w:rPr>
              <w:t>减</w:t>
            </w:r>
          </w:p>
        </w:tc>
      </w:tr>
      <w:tr>
        <w:tblPrEx>
          <w:tblCellMar>
            <w:top w:w="0" w:type="dxa"/>
            <w:left w:w="108" w:type="dxa"/>
            <w:bottom w:w="0" w:type="dxa"/>
            <w:right w:w="108" w:type="dxa"/>
          </w:tblCellMar>
        </w:tblPrEx>
        <w:trPr>
          <w:trHeight w:val="551"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行政事业性收费</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hAnsi="宋体" w:cs="宋体"/>
                <w:color w:val="000000"/>
                <w:kern w:val="0"/>
                <w:sz w:val="24"/>
                <w:szCs w:val="24"/>
                <w:lang w:val="en-US" w:eastAsia="zh-CN"/>
              </w:rPr>
              <w:t>0</w:t>
            </w:r>
          </w:p>
        </w:tc>
        <w:tc>
          <w:tcPr>
            <w:tcW w:w="3146" w:type="dxa"/>
            <w:gridSpan w:val="2"/>
            <w:tcBorders>
              <w:top w:val="single" w:color="auto" w:sz="4" w:space="0"/>
              <w:left w:val="nil"/>
              <w:bottom w:val="single" w:color="auto" w:sz="4" w:space="0"/>
              <w:right w:val="single" w:color="000000"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cs="Times New Roman"/>
                <w:color w:val="000000"/>
                <w:kern w:val="0"/>
                <w:sz w:val="24"/>
                <w:szCs w:val="24"/>
                <w:lang w:val="en-US" w:eastAsia="zh-CN"/>
              </w:rPr>
              <w:t>0</w:t>
            </w:r>
          </w:p>
        </w:tc>
      </w:tr>
      <w:tr>
        <w:tblPrEx>
          <w:tblCellMar>
            <w:top w:w="0" w:type="dxa"/>
            <w:left w:w="108" w:type="dxa"/>
            <w:bottom w:w="0" w:type="dxa"/>
            <w:right w:w="108" w:type="dxa"/>
          </w:tblCellMar>
        </w:tblPrEx>
        <w:trPr>
          <w:trHeight w:val="476" w:hRule="atLeast"/>
          <w:jc w:val="center"/>
        </w:trPr>
        <w:tc>
          <w:tcPr>
            <w:tcW w:w="8140" w:type="dxa"/>
            <w:gridSpan w:val="5"/>
            <w:tcBorders>
              <w:top w:val="single" w:color="auto" w:sz="4" w:space="0"/>
              <w:left w:val="single" w:color="auto" w:sz="4" w:space="0"/>
              <w:bottom w:val="single" w:color="auto" w:sz="4" w:space="0"/>
              <w:right w:val="single" w:color="auto" w:sz="4" w:space="0"/>
            </w:tcBorders>
            <w:shd w:val="clear" w:color="auto" w:fill="C6D9F1"/>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第二十条第（九）项</w:t>
            </w:r>
          </w:p>
        </w:tc>
      </w:tr>
      <w:tr>
        <w:tblPrEx>
          <w:tblCellMar>
            <w:top w:w="0" w:type="dxa"/>
            <w:left w:w="108" w:type="dxa"/>
            <w:bottom w:w="0" w:type="dxa"/>
            <w:right w:w="108" w:type="dxa"/>
          </w:tblCellMar>
        </w:tblPrEx>
        <w:trPr>
          <w:trHeight w:val="585"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信息内容</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采购项目数量</w:t>
            </w:r>
          </w:p>
        </w:tc>
        <w:tc>
          <w:tcPr>
            <w:tcW w:w="3146" w:type="dxa"/>
            <w:gridSpan w:val="2"/>
            <w:tcBorders>
              <w:top w:val="single" w:color="auto" w:sz="4" w:space="0"/>
              <w:left w:val="nil"/>
              <w:bottom w:val="single" w:color="auto" w:sz="4" w:space="0"/>
              <w:right w:val="single" w:color="000000" w:sz="4" w:space="0"/>
            </w:tcBorders>
            <w:noWrap/>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采购总金额</w:t>
            </w:r>
          </w:p>
        </w:tc>
      </w:tr>
      <w:tr>
        <w:tblPrEx>
          <w:tblCellMar>
            <w:top w:w="0" w:type="dxa"/>
            <w:left w:w="108" w:type="dxa"/>
            <w:bottom w:w="0" w:type="dxa"/>
            <w:right w:w="108" w:type="dxa"/>
          </w:tblCellMar>
        </w:tblPrEx>
        <w:trPr>
          <w:trHeight w:val="539" w:hRule="atLeast"/>
          <w:jc w:val="center"/>
        </w:trPr>
        <w:tc>
          <w:tcPr>
            <w:tcW w:w="3113" w:type="dxa"/>
            <w:tcBorders>
              <w:top w:val="nil"/>
              <w:left w:val="single" w:color="auto" w:sz="4" w:space="0"/>
              <w:bottom w:val="single" w:color="auto" w:sz="4" w:space="0"/>
              <w:right w:val="single" w:color="auto" w:sz="4" w:space="0"/>
            </w:tcBorders>
            <w:noWrap/>
            <w:vAlign w:val="center"/>
          </w:tcPr>
          <w:p>
            <w:pPr>
              <w:widowControl/>
              <w:spacing w:before="100" w:beforeAutospacing="1" w:after="100" w:afterAutospacing="1"/>
              <w:jc w:val="left"/>
              <w:rPr>
                <w:rFonts w:ascii="宋体" w:cs="Times New Roman"/>
                <w:kern w:val="0"/>
                <w:sz w:val="24"/>
                <w:szCs w:val="24"/>
              </w:rPr>
            </w:pPr>
            <w:r>
              <w:rPr>
                <w:rFonts w:hint="eastAsia" w:ascii="宋体" w:hAnsi="宋体" w:cs="宋体"/>
                <w:color w:val="000000"/>
                <w:kern w:val="0"/>
                <w:sz w:val="20"/>
                <w:szCs w:val="20"/>
              </w:rPr>
              <w:t>政府集中采购</w:t>
            </w:r>
          </w:p>
        </w:tc>
        <w:tc>
          <w:tcPr>
            <w:tcW w:w="1881" w:type="dxa"/>
            <w:gridSpan w:val="2"/>
            <w:tcBorders>
              <w:top w:val="nil"/>
              <w:left w:val="nil"/>
              <w:bottom w:val="single" w:color="auto" w:sz="4" w:space="0"/>
              <w:right w:val="single" w:color="auto" w:sz="4" w:space="0"/>
            </w:tcBorders>
            <w:noWrap/>
            <w:vAlign w:val="center"/>
          </w:tcPr>
          <w:p>
            <w:pPr>
              <w:widowControl/>
              <w:spacing w:before="100" w:beforeAutospacing="1" w:after="100" w:afterAutospacing="1"/>
              <w:jc w:val="center"/>
              <w:rPr>
                <w:rFonts w:hint="eastAsia" w:ascii="宋体" w:eastAsia="宋体" w:cs="Times New Roman"/>
                <w:kern w:val="0"/>
                <w:sz w:val="24"/>
                <w:szCs w:val="24"/>
                <w:lang w:val="en-US" w:eastAsia="zh-CN"/>
              </w:rPr>
            </w:pPr>
            <w:r>
              <w:rPr>
                <w:rFonts w:hint="eastAsia" w:ascii="宋体" w:hAnsi="宋体" w:cs="宋体"/>
                <w:color w:val="000000"/>
                <w:kern w:val="0"/>
                <w:sz w:val="24"/>
                <w:szCs w:val="24"/>
                <w:lang w:val="en-US" w:eastAsia="zh-CN"/>
              </w:rPr>
              <w:t>0</w:t>
            </w:r>
          </w:p>
        </w:tc>
        <w:tc>
          <w:tcPr>
            <w:tcW w:w="3146" w:type="dxa"/>
            <w:gridSpan w:val="2"/>
            <w:tcBorders>
              <w:top w:val="single" w:color="auto" w:sz="4" w:space="0"/>
              <w:left w:val="nil"/>
              <w:bottom w:val="single" w:color="auto" w:sz="4" w:space="0"/>
              <w:right w:val="single" w:color="000000"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bl>
    <w:p>
      <w:pPr>
        <w:widowControl/>
        <w:ind w:firstLine="480"/>
        <w:rPr>
          <w:rFonts w:ascii="宋体" w:cs="Times New Roman"/>
          <w:kern w:val="0"/>
          <w:sz w:val="24"/>
          <w:szCs w:val="24"/>
        </w:rPr>
      </w:pPr>
    </w:p>
    <w:p>
      <w:pPr>
        <w:widowControl/>
        <w:rPr>
          <w:rFonts w:hint="eastAsia" w:ascii="黑体" w:hAnsi="黑体" w:eastAsia="黑体" w:cs="黑体"/>
          <w:kern w:val="0"/>
          <w:sz w:val="32"/>
          <w:szCs w:val="32"/>
        </w:rPr>
      </w:pPr>
    </w:p>
    <w:p>
      <w:pPr>
        <w:widowControl/>
        <w:spacing w:after="240"/>
        <w:ind w:firstLine="480"/>
        <w:rPr>
          <w:rFonts w:hint="eastAsia" w:ascii="黑体" w:hAnsi="黑体" w:eastAsia="黑体" w:cs="黑体"/>
          <w:kern w:val="0"/>
          <w:sz w:val="32"/>
          <w:szCs w:val="32"/>
        </w:rPr>
      </w:pPr>
      <w:r>
        <w:rPr>
          <w:rFonts w:hint="eastAsia" w:ascii="黑体" w:hAnsi="黑体" w:eastAsia="黑体" w:cs="黑体"/>
          <w:kern w:val="0"/>
          <w:sz w:val="32"/>
          <w:szCs w:val="32"/>
        </w:rPr>
        <w:t>三、收到和处理政府信息公开申请情况</w:t>
      </w:r>
    </w:p>
    <w:tbl>
      <w:tblPr>
        <w:tblStyle w:val="9"/>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855"/>
        <w:gridCol w:w="2130"/>
        <w:gridCol w:w="825"/>
        <w:gridCol w:w="765"/>
        <w:gridCol w:w="765"/>
        <w:gridCol w:w="825"/>
        <w:gridCol w:w="990"/>
        <w:gridCol w:w="720"/>
        <w:gridCol w:w="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3"/>
            <w:vMerge w:val="restart"/>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（本列数据的勾稽关系为：第一项加第二项之和，等于第三项加第四项之和）</w:t>
            </w:r>
          </w:p>
        </w:tc>
        <w:tc>
          <w:tcPr>
            <w:tcW w:w="5592" w:type="dxa"/>
            <w:gridSpan w:val="7"/>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94" w:type="dxa"/>
            <w:gridSpan w:val="3"/>
            <w:vMerge w:val="continue"/>
            <w:vAlign w:val="center"/>
          </w:tcPr>
          <w:p>
            <w:pPr>
              <w:widowControl/>
              <w:jc w:val="left"/>
              <w:rPr>
                <w:rFonts w:ascii="宋体" w:cs="Times New Roman"/>
                <w:kern w:val="0"/>
                <w:sz w:val="24"/>
                <w:szCs w:val="24"/>
              </w:rPr>
            </w:pPr>
          </w:p>
        </w:tc>
        <w:tc>
          <w:tcPr>
            <w:tcW w:w="825" w:type="dxa"/>
            <w:vMerge w:val="restart"/>
            <w:tcBorders>
              <w:top w:val="nil"/>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自然人</w:t>
            </w:r>
          </w:p>
        </w:tc>
        <w:tc>
          <w:tcPr>
            <w:tcW w:w="4065" w:type="dxa"/>
            <w:gridSpan w:val="5"/>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法人或其他组织</w:t>
            </w:r>
          </w:p>
        </w:tc>
        <w:tc>
          <w:tcPr>
            <w:tcW w:w="702" w:type="dxa"/>
            <w:vMerge w:val="restart"/>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94" w:type="dxa"/>
            <w:gridSpan w:val="3"/>
            <w:vMerge w:val="continue"/>
            <w:vAlign w:val="center"/>
          </w:tcPr>
          <w:p>
            <w:pPr>
              <w:widowControl/>
              <w:jc w:val="left"/>
              <w:rPr>
                <w:rFonts w:ascii="宋体" w:cs="Times New Roman"/>
                <w:kern w:val="0"/>
                <w:sz w:val="24"/>
                <w:szCs w:val="24"/>
              </w:rPr>
            </w:pPr>
          </w:p>
        </w:tc>
        <w:tc>
          <w:tcPr>
            <w:tcW w:w="5592" w:type="dxa"/>
            <w:vMerge w:val="continue"/>
            <w:tcBorders>
              <w:top w:val="nil"/>
              <w:left w:val="nil"/>
            </w:tcBorders>
            <w:vAlign w:val="center"/>
          </w:tcPr>
          <w:p>
            <w:pPr>
              <w:widowControl/>
              <w:jc w:val="left"/>
              <w:rPr>
                <w:rFonts w:ascii="宋体" w:cs="Times New Roman"/>
                <w:kern w:val="0"/>
                <w:sz w:val="24"/>
                <w:szCs w:val="24"/>
              </w:rPr>
            </w:pP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商业企业</w:t>
            </w:r>
          </w:p>
        </w:tc>
        <w:tc>
          <w:tcPr>
            <w:tcW w:w="76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科研机构</w:t>
            </w:r>
          </w:p>
        </w:tc>
        <w:tc>
          <w:tcPr>
            <w:tcW w:w="82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社会公益组织</w:t>
            </w:r>
          </w:p>
        </w:tc>
        <w:tc>
          <w:tcPr>
            <w:tcW w:w="99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法律服务机构</w:t>
            </w:r>
          </w:p>
        </w:tc>
        <w:tc>
          <w:tcPr>
            <w:tcW w:w="72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其他</w:t>
            </w:r>
          </w:p>
        </w:tc>
        <w:tc>
          <w:tcPr>
            <w:tcW w:w="702" w:type="dxa"/>
            <w:vMerge w:val="continue"/>
            <w:tcBorders>
              <w:left w:val="nil"/>
            </w:tcBorders>
            <w:vAlign w:val="center"/>
          </w:tcPr>
          <w:p>
            <w:pPr>
              <w:widowControl/>
              <w:jc w:val="left"/>
              <w:rPr>
                <w:rFonts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3"/>
            <w:vAlign w:val="center"/>
          </w:tcPr>
          <w:p>
            <w:pPr>
              <w:widowControl/>
              <w:spacing w:before="100" w:beforeAutospacing="1" w:after="100" w:afterAutospacing="1"/>
              <w:jc w:val="left"/>
              <w:rPr>
                <w:rFonts w:ascii="宋体" w:cs="Times New Roman"/>
                <w:kern w:val="0"/>
                <w:sz w:val="24"/>
                <w:szCs w:val="24"/>
              </w:rPr>
            </w:pPr>
            <w:r>
              <w:rPr>
                <w:rFonts w:hint="eastAsia" w:cs="宋体"/>
                <w:sz w:val="20"/>
                <w:szCs w:val="20"/>
              </w:rPr>
              <w:t>一、本年新收政府信息公开申请数量</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3"/>
            <w:vAlign w:val="center"/>
          </w:tcPr>
          <w:p>
            <w:pPr>
              <w:widowControl/>
              <w:spacing w:before="100" w:beforeAutospacing="1" w:after="100" w:afterAutospacing="1"/>
              <w:jc w:val="left"/>
              <w:rPr>
                <w:rFonts w:ascii="宋体" w:cs="Times New Roman"/>
                <w:kern w:val="0"/>
                <w:sz w:val="24"/>
                <w:szCs w:val="24"/>
              </w:rPr>
            </w:pPr>
            <w:r>
              <w:rPr>
                <w:rFonts w:hint="eastAsia" w:cs="宋体"/>
                <w:sz w:val="20"/>
                <w:szCs w:val="20"/>
              </w:rPr>
              <w:t>二、上年结转政府信息公开申请数量</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4" w:type="dxa"/>
            <w:vMerge w:val="restart"/>
            <w:tcBorders>
              <w:top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三、本年度办理结果</w:t>
            </w:r>
          </w:p>
        </w:tc>
        <w:tc>
          <w:tcPr>
            <w:tcW w:w="2985" w:type="dxa"/>
            <w:gridSpan w:val="2"/>
            <w:tcBorders>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（一）予以公开</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gridSpan w:val="2"/>
            <w:tcBorders>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（二）部分公开（区分处理的，只计这一情形，不计其他情形）</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855" w:type="dxa"/>
            <w:vMerge w:val="restart"/>
            <w:tcBorders>
              <w:top w:val="nil"/>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（三）不予公开</w:t>
            </w: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1.</w:t>
            </w:r>
            <w:r>
              <w:rPr>
                <w:rFonts w:hint="eastAsia" w:ascii="楷体" w:hAnsi="楷体" w:eastAsia="楷体" w:cs="楷体"/>
                <w:sz w:val="20"/>
                <w:szCs w:val="20"/>
              </w:rPr>
              <w:t>属于国家秘密</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2.</w:t>
            </w:r>
            <w:r>
              <w:rPr>
                <w:rFonts w:hint="eastAsia" w:ascii="楷体" w:hAnsi="楷体" w:eastAsia="楷体" w:cs="楷体"/>
                <w:sz w:val="20"/>
                <w:szCs w:val="20"/>
              </w:rPr>
              <w:t>其他法律行政法规禁止公开</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3.</w:t>
            </w:r>
            <w:r>
              <w:rPr>
                <w:rFonts w:hint="eastAsia" w:ascii="楷体" w:hAnsi="楷体" w:eastAsia="楷体" w:cs="楷体"/>
                <w:sz w:val="20"/>
                <w:szCs w:val="20"/>
              </w:rPr>
              <w:t>危及“三安全一稳定”</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4.</w:t>
            </w:r>
            <w:r>
              <w:rPr>
                <w:rFonts w:hint="eastAsia" w:ascii="楷体" w:hAnsi="楷体" w:eastAsia="楷体" w:cs="楷体"/>
                <w:sz w:val="20"/>
                <w:szCs w:val="20"/>
              </w:rPr>
              <w:t>保护第三方合法权益</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5.</w:t>
            </w:r>
            <w:r>
              <w:rPr>
                <w:rFonts w:hint="eastAsia" w:ascii="楷体" w:hAnsi="楷体" w:eastAsia="楷体" w:cs="楷体"/>
                <w:sz w:val="20"/>
                <w:szCs w:val="20"/>
              </w:rPr>
              <w:t>属于三类内部事务信息</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6.</w:t>
            </w:r>
            <w:r>
              <w:rPr>
                <w:rFonts w:hint="eastAsia" w:ascii="楷体" w:hAnsi="楷体" w:eastAsia="楷体" w:cs="楷体"/>
                <w:sz w:val="20"/>
                <w:szCs w:val="20"/>
              </w:rPr>
              <w:t>属于四类过程性信息</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7.</w:t>
            </w:r>
            <w:r>
              <w:rPr>
                <w:rFonts w:hint="eastAsia" w:ascii="楷体" w:hAnsi="楷体" w:eastAsia="楷体" w:cs="楷体"/>
                <w:sz w:val="20"/>
                <w:szCs w:val="20"/>
              </w:rPr>
              <w:t>属于行政执法案卷</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8.</w:t>
            </w:r>
            <w:r>
              <w:rPr>
                <w:rFonts w:hint="eastAsia" w:ascii="楷体" w:hAnsi="楷体" w:eastAsia="楷体" w:cs="楷体"/>
                <w:sz w:val="20"/>
                <w:szCs w:val="20"/>
              </w:rPr>
              <w:t>属于行政查询事项</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855" w:type="dxa"/>
            <w:vMerge w:val="restart"/>
            <w:tcBorders>
              <w:top w:val="nil"/>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（四）无法提供</w:t>
            </w: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1.</w:t>
            </w:r>
            <w:r>
              <w:rPr>
                <w:rFonts w:hint="eastAsia" w:ascii="楷体" w:hAnsi="楷体" w:eastAsia="楷体" w:cs="楷体"/>
                <w:sz w:val="20"/>
                <w:szCs w:val="20"/>
              </w:rPr>
              <w:t>本机关不掌握相关政府信息</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2.</w:t>
            </w:r>
            <w:r>
              <w:rPr>
                <w:rFonts w:hint="eastAsia" w:ascii="楷体" w:hAnsi="楷体" w:eastAsia="楷体" w:cs="楷体"/>
                <w:sz w:val="20"/>
                <w:szCs w:val="20"/>
              </w:rPr>
              <w:t>没有现成信息需要另行制作</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3.</w:t>
            </w:r>
            <w:r>
              <w:rPr>
                <w:rFonts w:hint="eastAsia" w:ascii="楷体" w:hAnsi="楷体" w:eastAsia="楷体" w:cs="楷体"/>
                <w:sz w:val="20"/>
                <w:szCs w:val="20"/>
              </w:rPr>
              <w:t>补正后申请内容仍不明确</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855" w:type="dxa"/>
            <w:vMerge w:val="restart"/>
            <w:tcBorders>
              <w:top w:val="nil"/>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（五）不予处理</w:t>
            </w: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1.</w:t>
            </w:r>
            <w:r>
              <w:rPr>
                <w:rFonts w:hint="eastAsia" w:ascii="楷体" w:hAnsi="楷体" w:eastAsia="楷体" w:cs="楷体"/>
                <w:sz w:val="20"/>
                <w:szCs w:val="20"/>
              </w:rPr>
              <w:t>信访举报投诉类申请</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2.</w:t>
            </w:r>
            <w:r>
              <w:rPr>
                <w:rFonts w:hint="eastAsia" w:ascii="楷体" w:hAnsi="楷体" w:eastAsia="楷体" w:cs="楷体"/>
                <w:sz w:val="20"/>
                <w:szCs w:val="20"/>
              </w:rPr>
              <w:t>重复申请</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3.</w:t>
            </w:r>
            <w:r>
              <w:rPr>
                <w:rFonts w:hint="eastAsia" w:ascii="楷体" w:hAnsi="楷体" w:eastAsia="楷体" w:cs="楷体"/>
                <w:sz w:val="20"/>
                <w:szCs w:val="20"/>
              </w:rPr>
              <w:t>要求提供公开出版物</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4.</w:t>
            </w:r>
            <w:r>
              <w:rPr>
                <w:rFonts w:hint="eastAsia" w:ascii="楷体" w:hAnsi="楷体" w:eastAsia="楷体" w:cs="楷体"/>
                <w:sz w:val="20"/>
                <w:szCs w:val="20"/>
              </w:rPr>
              <w:t>无正当理由大量反复申请</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vMerge w:val="continue"/>
            <w:tcBorders>
              <w:top w:val="nil"/>
              <w:left w:val="nil"/>
            </w:tcBorders>
            <w:vAlign w:val="center"/>
          </w:tcPr>
          <w:p>
            <w:pPr>
              <w:widowControl/>
              <w:jc w:val="left"/>
              <w:rPr>
                <w:rFonts w:ascii="宋体" w:cs="Times New Roman"/>
                <w:kern w:val="0"/>
                <w:sz w:val="24"/>
                <w:szCs w:val="24"/>
              </w:rPr>
            </w:pPr>
          </w:p>
        </w:tc>
        <w:tc>
          <w:tcPr>
            <w:tcW w:w="2130" w:type="dxa"/>
            <w:tcBorders>
              <w:left w:val="nil"/>
            </w:tcBorders>
            <w:vAlign w:val="center"/>
          </w:tcPr>
          <w:p>
            <w:pPr>
              <w:widowControl/>
              <w:spacing w:before="100" w:beforeAutospacing="1" w:after="100" w:afterAutospacing="1"/>
              <w:jc w:val="left"/>
              <w:rPr>
                <w:rFonts w:ascii="宋体" w:cs="Times New Roman"/>
                <w:kern w:val="0"/>
                <w:sz w:val="24"/>
                <w:szCs w:val="24"/>
              </w:rPr>
            </w:pPr>
            <w:r>
              <w:rPr>
                <w:rFonts w:ascii="楷体" w:hAnsi="楷体" w:eastAsia="楷体" w:cs="楷体"/>
                <w:sz w:val="20"/>
                <w:szCs w:val="20"/>
              </w:rPr>
              <w:t>5.</w:t>
            </w:r>
            <w:r>
              <w:rPr>
                <w:rFonts w:hint="eastAsia" w:ascii="楷体" w:hAnsi="楷体" w:eastAsia="楷体" w:cs="楷体"/>
                <w:sz w:val="20"/>
                <w:szCs w:val="20"/>
              </w:rPr>
              <w:t>要求行政机关确认或重新出具已获取信息</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gridSpan w:val="2"/>
            <w:tcBorders>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（六）其他处理</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vMerge w:val="continue"/>
            <w:tcBorders>
              <w:top w:val="nil"/>
            </w:tcBorders>
            <w:vAlign w:val="center"/>
          </w:tcPr>
          <w:p>
            <w:pPr>
              <w:widowControl/>
              <w:jc w:val="left"/>
              <w:rPr>
                <w:rFonts w:ascii="宋体" w:cs="Times New Roman"/>
                <w:kern w:val="0"/>
                <w:sz w:val="24"/>
                <w:szCs w:val="24"/>
              </w:rPr>
            </w:pPr>
          </w:p>
        </w:tc>
        <w:tc>
          <w:tcPr>
            <w:tcW w:w="2985" w:type="dxa"/>
            <w:gridSpan w:val="2"/>
            <w:tcBorders>
              <w:left w:val="nil"/>
            </w:tcBorders>
            <w:vAlign w:val="center"/>
          </w:tcPr>
          <w:p>
            <w:pPr>
              <w:widowControl/>
              <w:spacing w:before="100" w:beforeAutospacing="1" w:after="100" w:afterAutospacing="1"/>
              <w:jc w:val="left"/>
              <w:rPr>
                <w:rFonts w:ascii="宋体" w:cs="Times New Roman"/>
                <w:kern w:val="0"/>
                <w:sz w:val="24"/>
                <w:szCs w:val="24"/>
              </w:rPr>
            </w:pPr>
            <w:r>
              <w:rPr>
                <w:rFonts w:hint="eastAsia" w:ascii="楷体" w:hAnsi="楷体" w:eastAsia="楷体" w:cs="楷体"/>
                <w:sz w:val="20"/>
                <w:szCs w:val="20"/>
              </w:rPr>
              <w:t>（七）总计</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9" w:type="dxa"/>
            <w:gridSpan w:val="3"/>
            <w:vAlign w:val="center"/>
          </w:tcPr>
          <w:p>
            <w:pPr>
              <w:widowControl/>
              <w:spacing w:before="100" w:beforeAutospacing="1" w:after="100" w:afterAutospacing="1"/>
              <w:jc w:val="left"/>
              <w:rPr>
                <w:rFonts w:ascii="宋体" w:cs="Times New Roman"/>
                <w:kern w:val="0"/>
                <w:sz w:val="24"/>
                <w:szCs w:val="24"/>
              </w:rPr>
            </w:pPr>
            <w:r>
              <w:rPr>
                <w:rFonts w:hint="eastAsia" w:cs="宋体"/>
                <w:sz w:val="20"/>
                <w:szCs w:val="20"/>
              </w:rPr>
              <w:t>四、结转下年度继续办理</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6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82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99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2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c>
          <w:tcPr>
            <w:tcW w:w="702" w:type="dxa"/>
            <w:tcBorders>
              <w:left w:val="nil"/>
            </w:tcBorders>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bl>
    <w:p>
      <w:pPr>
        <w:widowControl/>
        <w:ind w:firstLine="480"/>
        <w:rPr>
          <w:rFonts w:ascii="宋体" w:cs="Times New Roman"/>
          <w:kern w:val="0"/>
          <w:sz w:val="24"/>
          <w:szCs w:val="24"/>
        </w:rPr>
      </w:pPr>
    </w:p>
    <w:p>
      <w:pPr>
        <w:widowControl/>
        <w:ind w:firstLine="480"/>
        <w:rPr>
          <w:rFonts w:hint="eastAsia" w:ascii="黑体" w:hAnsi="黑体" w:eastAsia="黑体" w:cs="黑体"/>
          <w:kern w:val="0"/>
          <w:sz w:val="32"/>
          <w:szCs w:val="32"/>
        </w:rPr>
      </w:pPr>
    </w:p>
    <w:p>
      <w:pPr>
        <w:widowControl/>
        <w:ind w:firstLine="480"/>
        <w:rPr>
          <w:rFonts w:hint="eastAsia" w:ascii="黑体" w:hAnsi="黑体" w:eastAsia="黑体" w:cs="黑体"/>
          <w:kern w:val="0"/>
          <w:sz w:val="32"/>
          <w:szCs w:val="32"/>
        </w:rPr>
      </w:pPr>
    </w:p>
    <w:p>
      <w:pPr>
        <w:widowControl/>
        <w:ind w:firstLine="480"/>
        <w:rPr>
          <w:rFonts w:hint="eastAsia" w:ascii="黑体" w:hAnsi="黑体" w:eastAsia="黑体" w:cs="黑体"/>
          <w:kern w:val="0"/>
          <w:sz w:val="32"/>
          <w:szCs w:val="32"/>
        </w:rPr>
      </w:pPr>
    </w:p>
    <w:p>
      <w:pPr>
        <w:widowControl/>
        <w:ind w:firstLine="480"/>
        <w:rPr>
          <w:rFonts w:hint="eastAsia" w:ascii="黑体" w:hAnsi="黑体" w:eastAsia="黑体" w:cs="黑体"/>
          <w:kern w:val="0"/>
          <w:sz w:val="32"/>
          <w:szCs w:val="32"/>
        </w:rPr>
      </w:pPr>
      <w:r>
        <w:rPr>
          <w:rFonts w:hint="eastAsia" w:ascii="黑体" w:hAnsi="黑体" w:eastAsia="黑体" w:cs="黑体"/>
          <w:kern w:val="0"/>
          <w:sz w:val="32"/>
          <w:szCs w:val="32"/>
        </w:rPr>
        <w:t>四、政府信息公开行政复议、行政诉讼情况</w:t>
      </w:r>
    </w:p>
    <w:p>
      <w:pPr>
        <w:widowControl/>
        <w:ind w:firstLine="480"/>
        <w:rPr>
          <w:rFonts w:ascii="宋体" w:cs="Times New Roman"/>
          <w:kern w:val="0"/>
          <w:sz w:val="24"/>
          <w:szCs w:val="24"/>
        </w:rPr>
      </w:pPr>
    </w:p>
    <w:tbl>
      <w:tblPr>
        <w:tblStyle w:val="9"/>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4" w:type="dxa"/>
            <w:gridSpan w:val="5"/>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行政复议</w:t>
            </w:r>
          </w:p>
        </w:tc>
        <w:tc>
          <w:tcPr>
            <w:tcW w:w="5997" w:type="dxa"/>
            <w:gridSpan w:val="10"/>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restart"/>
            <w:tcBorders>
              <w:top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结果维持</w:t>
            </w:r>
          </w:p>
        </w:tc>
        <w:tc>
          <w:tcPr>
            <w:tcW w:w="604" w:type="dxa"/>
            <w:vMerge w:val="restart"/>
            <w:tcBorders>
              <w:top w:val="nil"/>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结果纠正</w:t>
            </w:r>
          </w:p>
        </w:tc>
        <w:tc>
          <w:tcPr>
            <w:tcW w:w="604" w:type="dxa"/>
            <w:vMerge w:val="restart"/>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其他结果</w:t>
            </w:r>
          </w:p>
        </w:tc>
        <w:tc>
          <w:tcPr>
            <w:tcW w:w="604" w:type="dxa"/>
            <w:vMerge w:val="restart"/>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尚未审结</w:t>
            </w:r>
          </w:p>
        </w:tc>
        <w:tc>
          <w:tcPr>
            <w:tcW w:w="658" w:type="dxa"/>
            <w:vMerge w:val="restart"/>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总计</w:t>
            </w:r>
          </w:p>
        </w:tc>
        <w:tc>
          <w:tcPr>
            <w:tcW w:w="2970" w:type="dxa"/>
            <w:gridSpan w:val="5"/>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未经复议直接起诉</w:t>
            </w:r>
          </w:p>
        </w:tc>
        <w:tc>
          <w:tcPr>
            <w:tcW w:w="3027" w:type="dxa"/>
            <w:gridSpan w:val="5"/>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tcBorders>
            <w:vAlign w:val="center"/>
          </w:tcPr>
          <w:p>
            <w:pPr>
              <w:widowControl/>
              <w:jc w:val="left"/>
              <w:rPr>
                <w:rFonts w:ascii="宋体" w:cs="Times New Roman"/>
                <w:kern w:val="0"/>
                <w:sz w:val="24"/>
                <w:szCs w:val="24"/>
              </w:rPr>
            </w:pPr>
          </w:p>
        </w:tc>
        <w:tc>
          <w:tcPr>
            <w:tcW w:w="0" w:type="auto"/>
            <w:vMerge w:val="continue"/>
            <w:tcBorders>
              <w:top w:val="nil"/>
              <w:left w:val="nil"/>
            </w:tcBorders>
            <w:vAlign w:val="center"/>
          </w:tcPr>
          <w:p>
            <w:pPr>
              <w:widowControl/>
              <w:jc w:val="left"/>
              <w:rPr>
                <w:rFonts w:ascii="宋体" w:cs="Times New Roman"/>
                <w:kern w:val="0"/>
                <w:sz w:val="24"/>
                <w:szCs w:val="24"/>
              </w:rPr>
            </w:pPr>
          </w:p>
        </w:tc>
        <w:tc>
          <w:tcPr>
            <w:tcW w:w="0" w:type="auto"/>
            <w:vMerge w:val="continue"/>
            <w:tcBorders>
              <w:left w:val="nil"/>
            </w:tcBorders>
            <w:vAlign w:val="center"/>
          </w:tcPr>
          <w:p>
            <w:pPr>
              <w:widowControl/>
              <w:jc w:val="left"/>
              <w:rPr>
                <w:rFonts w:ascii="宋体" w:cs="Times New Roman"/>
                <w:kern w:val="0"/>
                <w:sz w:val="24"/>
                <w:szCs w:val="24"/>
              </w:rPr>
            </w:pPr>
          </w:p>
        </w:tc>
        <w:tc>
          <w:tcPr>
            <w:tcW w:w="0" w:type="auto"/>
            <w:vMerge w:val="continue"/>
            <w:tcBorders>
              <w:left w:val="nil"/>
            </w:tcBorders>
            <w:vAlign w:val="center"/>
          </w:tcPr>
          <w:p>
            <w:pPr>
              <w:widowControl/>
              <w:jc w:val="left"/>
              <w:rPr>
                <w:rFonts w:ascii="宋体" w:cs="Times New Roman"/>
                <w:kern w:val="0"/>
                <w:sz w:val="24"/>
                <w:szCs w:val="24"/>
              </w:rPr>
            </w:pPr>
          </w:p>
        </w:tc>
        <w:tc>
          <w:tcPr>
            <w:tcW w:w="0" w:type="auto"/>
            <w:vMerge w:val="continue"/>
            <w:tcBorders>
              <w:left w:val="nil"/>
            </w:tcBorders>
            <w:vAlign w:val="center"/>
          </w:tcPr>
          <w:p>
            <w:pPr>
              <w:widowControl/>
              <w:jc w:val="left"/>
              <w:rPr>
                <w:rFonts w:ascii="宋体" w:cs="Times New Roman"/>
                <w:kern w:val="0"/>
                <w:sz w:val="24"/>
                <w:szCs w:val="24"/>
              </w:rPr>
            </w:pPr>
          </w:p>
        </w:tc>
        <w:tc>
          <w:tcPr>
            <w:tcW w:w="550"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结果维持</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结果纠正</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其他结果</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尚未审结</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总计</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结果维持</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结果纠正</w:t>
            </w:r>
          </w:p>
        </w:tc>
        <w:tc>
          <w:tcPr>
            <w:tcW w:w="605"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其他结果</w:t>
            </w:r>
          </w:p>
        </w:tc>
        <w:tc>
          <w:tcPr>
            <w:tcW w:w="606"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cs="宋体"/>
                <w:sz w:val="20"/>
                <w:szCs w:val="20"/>
              </w:rPr>
              <w:t>尚未审结</w:t>
            </w:r>
          </w:p>
        </w:tc>
        <w:tc>
          <w:tcPr>
            <w:tcW w:w="606" w:type="dxa"/>
            <w:tcBorders>
              <w:left w:val="nil"/>
            </w:tcBorders>
            <w:vAlign w:val="center"/>
          </w:tcPr>
          <w:p>
            <w:pPr>
              <w:widowControl/>
              <w:spacing w:before="100" w:beforeAutospacing="1" w:after="100" w:afterAutospacing="1"/>
              <w:jc w:val="center"/>
              <w:rPr>
                <w:rFonts w:ascii="宋体" w:cs="Times New Roman"/>
                <w:kern w:val="0"/>
                <w:sz w:val="24"/>
                <w:szCs w:val="24"/>
              </w:rPr>
            </w:pPr>
            <w:r>
              <w:rPr>
                <w:rFonts w:hint="eastAsia" w:ascii="宋体" w:hAnsi="宋体" w:cs="宋体"/>
                <w:color w:val="000000"/>
                <w:kern w:val="0"/>
                <w:sz w:val="20"/>
                <w:szCs w:val="20"/>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sz w:val="24"/>
                <w:szCs w:val="24"/>
                <w:lang w:val="en-US" w:eastAsia="zh-CN"/>
              </w:rPr>
              <w:t>0</w:t>
            </w:r>
          </w:p>
        </w:tc>
        <w:tc>
          <w:tcPr>
            <w:tcW w:w="604"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604"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604"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658"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550"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60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60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60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60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lang w:val="en-US" w:eastAsia="zh-CN"/>
              </w:rPr>
              <w:t>0</w:t>
            </w:r>
          </w:p>
        </w:tc>
        <w:tc>
          <w:tcPr>
            <w:tcW w:w="60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60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605"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lang w:val="en-US" w:eastAsia="zh-CN"/>
              </w:rPr>
              <w:t>0</w:t>
            </w:r>
          </w:p>
        </w:tc>
        <w:tc>
          <w:tcPr>
            <w:tcW w:w="606" w:type="dxa"/>
            <w:tcBorders>
              <w:left w:val="nil"/>
            </w:tcBorders>
            <w:vAlign w:val="center"/>
          </w:tcPr>
          <w:p>
            <w:pPr>
              <w:widowControl/>
              <w:spacing w:before="100" w:beforeAutospacing="1" w:after="100" w:afterAutospacing="1"/>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lang w:val="en-US" w:eastAsia="zh-CN"/>
              </w:rPr>
              <w:t>0</w:t>
            </w:r>
          </w:p>
        </w:tc>
        <w:tc>
          <w:tcPr>
            <w:tcW w:w="606" w:type="dxa"/>
            <w:tcBorders>
              <w:left w:val="nil"/>
            </w:tcBorders>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bl>
    <w:p>
      <w:pPr>
        <w:widowControl/>
        <w:jc w:val="center"/>
        <w:rPr>
          <w:rFonts w:hint="default" w:ascii="宋体" w:eastAsia="宋体" w:cs="Times New Roman"/>
          <w:kern w:val="0"/>
          <w:sz w:val="24"/>
          <w:szCs w:val="24"/>
          <w:lang w:val="en-US" w:eastAsia="zh-CN"/>
        </w:rPr>
      </w:pPr>
    </w:p>
    <w:p>
      <w:pPr>
        <w:widowControl/>
        <w:ind w:firstLine="480"/>
        <w:rPr>
          <w:rFonts w:hint="eastAsia" w:ascii="黑体" w:hAnsi="黑体" w:eastAsia="黑体" w:cs="黑体"/>
          <w:kern w:val="0"/>
          <w:sz w:val="32"/>
          <w:szCs w:val="32"/>
        </w:rPr>
      </w:pPr>
      <w:r>
        <w:rPr>
          <w:rFonts w:hint="eastAsia" w:ascii="黑体" w:hAnsi="黑体" w:eastAsia="黑体" w:cs="黑体"/>
          <w:kern w:val="0"/>
          <w:sz w:val="32"/>
          <w:szCs w:val="32"/>
        </w:rPr>
        <w:t>五、存在的主要问题及改进情况</w:t>
      </w:r>
    </w:p>
    <w:p>
      <w:pPr>
        <w:widowControl/>
        <w:ind w:firstLine="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我局政务公开工作取得了一定成效，但与上级的要求，与群众的需求相比，尚有不足。存在的主要问题一是部分工作人员对政府信息公开工作的重要性认识不到位，宣传教育工作仍需进一步加强;二是制度建设有待进一步加强。</w:t>
      </w:r>
    </w:p>
    <w:p>
      <w:pPr>
        <w:widowControl/>
        <w:ind w:firstLine="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今后，我局将进一步转变观念、加大力度，深化公开内容、扩大公开范围，高标准地做好政府信息公开工作。</w:t>
      </w:r>
    </w:p>
    <w:p>
      <w:pPr>
        <w:widowControl/>
        <w:ind w:firstLine="480"/>
        <w:rPr>
          <w:rFonts w:hint="eastAsia" w:ascii="仿宋_GB2312" w:hAnsi="仿宋_GB2312" w:eastAsia="仿宋_GB2312" w:cs="仿宋_GB2312"/>
          <w:sz w:val="32"/>
          <w:szCs w:val="32"/>
        </w:rPr>
      </w:pPr>
    </w:p>
    <w:p>
      <w:pPr>
        <w:widowControl/>
        <w:ind w:firstLine="480"/>
        <w:rPr>
          <w:rFonts w:hint="eastAsia" w:ascii="仿宋_GB2312" w:hAnsi="仿宋_GB2312" w:eastAsia="仿宋_GB2312" w:cs="仿宋_GB2312"/>
          <w:sz w:val="32"/>
          <w:szCs w:val="32"/>
        </w:rPr>
      </w:pPr>
    </w:p>
    <w:p>
      <w:pPr>
        <w:widowControl/>
        <w:ind w:firstLine="5203" w:firstLineChars="1626"/>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lang w:eastAsia="zh-CN"/>
        </w:rPr>
        <w:t>山海关区民政局</w:t>
      </w:r>
    </w:p>
    <w:p>
      <w:pPr>
        <w:widowControl/>
        <w:ind w:firstLine="5203" w:firstLineChars="1626"/>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2021年1月11日</w:t>
      </w:r>
    </w:p>
    <w:p>
      <w:pPr>
        <w:rPr>
          <w:rFonts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A63C1"/>
    <w:rsid w:val="001840A9"/>
    <w:rsid w:val="00413273"/>
    <w:rsid w:val="005563B3"/>
    <w:rsid w:val="00646173"/>
    <w:rsid w:val="006A63C1"/>
    <w:rsid w:val="007468F8"/>
    <w:rsid w:val="00756132"/>
    <w:rsid w:val="007D6A53"/>
    <w:rsid w:val="00860B91"/>
    <w:rsid w:val="008A6907"/>
    <w:rsid w:val="008D7CCA"/>
    <w:rsid w:val="00901530"/>
    <w:rsid w:val="00907475"/>
    <w:rsid w:val="009B6A58"/>
    <w:rsid w:val="00A054DB"/>
    <w:rsid w:val="00A2497F"/>
    <w:rsid w:val="00A537FC"/>
    <w:rsid w:val="00A55CC3"/>
    <w:rsid w:val="00AB36B5"/>
    <w:rsid w:val="00BD158D"/>
    <w:rsid w:val="00C4556A"/>
    <w:rsid w:val="00DB4B72"/>
    <w:rsid w:val="00E24646"/>
    <w:rsid w:val="00E94D62"/>
    <w:rsid w:val="00F02D2B"/>
    <w:rsid w:val="00F07B94"/>
    <w:rsid w:val="18746C08"/>
    <w:rsid w:val="22821AF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2"/>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3"/>
    <w:qFormat/>
    <w:uiPriority w:val="99"/>
    <w:pPr>
      <w:keepNext/>
      <w:keepLines/>
      <w:spacing w:before="120" w:after="120"/>
      <w:jc w:val="center"/>
      <w:outlineLvl w:val="1"/>
    </w:pPr>
    <w:rPr>
      <w:rFonts w:ascii="Cambria" w:hAnsi="Cambria" w:eastAsia="方正小标宋简体" w:cs="Cambria"/>
      <w:sz w:val="36"/>
      <w:szCs w:val="36"/>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4"/>
    <w:semiHidden/>
    <w:qFormat/>
    <w:uiPriority w:val="99"/>
    <w:pPr>
      <w:ind w:left="100" w:leftChars="2500"/>
    </w:pPr>
  </w:style>
  <w:style w:type="paragraph" w:styleId="5">
    <w:name w:val="Balloon Text"/>
    <w:basedOn w:val="1"/>
    <w:link w:val="17"/>
    <w:semiHidden/>
    <w:qFormat/>
    <w:uiPriority w:val="99"/>
    <w:rPr>
      <w:sz w:val="18"/>
      <w:szCs w:val="18"/>
    </w:rPr>
  </w:style>
  <w:style w:type="paragraph" w:styleId="6">
    <w:name w:val="footer"/>
    <w:basedOn w:val="1"/>
    <w:link w:val="16"/>
    <w:semiHidden/>
    <w:qFormat/>
    <w:uiPriority w:val="99"/>
    <w:pPr>
      <w:tabs>
        <w:tab w:val="center" w:pos="4153"/>
        <w:tab w:val="right" w:pos="8306"/>
      </w:tabs>
      <w:snapToGrid w:val="0"/>
      <w:jc w:val="left"/>
    </w:pPr>
    <w:rPr>
      <w:sz w:val="18"/>
      <w:szCs w:val="18"/>
    </w:rPr>
  </w:style>
  <w:style w:type="paragraph" w:styleId="7">
    <w:name w:val="header"/>
    <w:basedOn w:val="1"/>
    <w:link w:val="15"/>
    <w:semiHidden/>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11">
    <w:name w:val="Hyperlink"/>
    <w:basedOn w:val="10"/>
    <w:semiHidden/>
    <w:qFormat/>
    <w:uiPriority w:val="99"/>
    <w:rPr>
      <w:color w:val="0000FF"/>
      <w:u w:val="single"/>
    </w:rPr>
  </w:style>
  <w:style w:type="character" w:customStyle="1" w:styleId="12">
    <w:name w:val="Heading 1 Char"/>
    <w:basedOn w:val="10"/>
    <w:link w:val="2"/>
    <w:qFormat/>
    <w:locked/>
    <w:uiPriority w:val="99"/>
    <w:rPr>
      <w:rFonts w:ascii="Calibri" w:hAnsi="Calibri" w:eastAsia="宋体" w:cs="Calibri"/>
      <w:b/>
      <w:bCs/>
      <w:kern w:val="44"/>
      <w:sz w:val="44"/>
      <w:szCs w:val="44"/>
    </w:rPr>
  </w:style>
  <w:style w:type="character" w:customStyle="1" w:styleId="13">
    <w:name w:val="Heading 2 Char"/>
    <w:basedOn w:val="10"/>
    <w:link w:val="3"/>
    <w:qFormat/>
    <w:locked/>
    <w:uiPriority w:val="99"/>
    <w:rPr>
      <w:rFonts w:ascii="Cambria" w:hAnsi="Cambria" w:eastAsia="方正小标宋简体" w:cs="Cambria"/>
      <w:sz w:val="36"/>
      <w:szCs w:val="36"/>
    </w:rPr>
  </w:style>
  <w:style w:type="character" w:customStyle="1" w:styleId="14">
    <w:name w:val="Date Char"/>
    <w:basedOn w:val="10"/>
    <w:link w:val="4"/>
    <w:semiHidden/>
    <w:qFormat/>
    <w:locked/>
    <w:uiPriority w:val="99"/>
    <w:rPr>
      <w:rFonts w:ascii="Calibri" w:hAnsi="Calibri" w:eastAsia="宋体" w:cs="Calibri"/>
      <w:sz w:val="21"/>
      <w:szCs w:val="21"/>
    </w:rPr>
  </w:style>
  <w:style w:type="character" w:customStyle="1" w:styleId="15">
    <w:name w:val="Header Char"/>
    <w:basedOn w:val="10"/>
    <w:link w:val="7"/>
    <w:semiHidden/>
    <w:qFormat/>
    <w:locked/>
    <w:uiPriority w:val="99"/>
    <w:rPr>
      <w:rFonts w:ascii="Calibri" w:hAnsi="Calibri" w:eastAsia="宋体" w:cs="Calibri"/>
      <w:sz w:val="18"/>
      <w:szCs w:val="18"/>
    </w:rPr>
  </w:style>
  <w:style w:type="character" w:customStyle="1" w:styleId="16">
    <w:name w:val="Footer Char"/>
    <w:basedOn w:val="10"/>
    <w:link w:val="6"/>
    <w:semiHidden/>
    <w:qFormat/>
    <w:locked/>
    <w:uiPriority w:val="99"/>
    <w:rPr>
      <w:rFonts w:ascii="Calibri" w:hAnsi="Calibri" w:eastAsia="宋体" w:cs="Calibri"/>
      <w:sz w:val="18"/>
      <w:szCs w:val="18"/>
    </w:rPr>
  </w:style>
  <w:style w:type="character" w:customStyle="1" w:styleId="17">
    <w:name w:val="Balloon Text Char"/>
    <w:basedOn w:val="10"/>
    <w:link w:val="5"/>
    <w:semiHidden/>
    <w:qFormat/>
    <w:locked/>
    <w:uiPriority w:val="99"/>
    <w:rPr>
      <w:rFonts w:ascii="Calibri" w:hAnsi="Calibri" w:eastAsia="宋体" w:cs="Calibri"/>
      <w:sz w:val="18"/>
      <w:szCs w:val="18"/>
    </w:rPr>
  </w:style>
  <w:style w:type="character" w:customStyle="1" w:styleId="18">
    <w:name w:val="font"/>
    <w:basedOn w:val="10"/>
    <w:qFormat/>
    <w:uiPriority w:val="99"/>
  </w:style>
  <w:style w:type="character" w:customStyle="1" w:styleId="19">
    <w:name w:val="bigger"/>
    <w:basedOn w:val="10"/>
    <w:qFormat/>
    <w:uiPriority w:val="99"/>
  </w:style>
  <w:style w:type="character" w:customStyle="1" w:styleId="20">
    <w:name w:val="medium"/>
    <w:basedOn w:val="10"/>
    <w:qFormat/>
    <w:uiPriority w:val="99"/>
  </w:style>
  <w:style w:type="character" w:customStyle="1" w:styleId="21">
    <w:name w:val="smaller"/>
    <w:basedOn w:val="10"/>
    <w:qFormat/>
    <w:uiPriority w:val="99"/>
  </w:style>
  <w:style w:type="character" w:customStyle="1" w:styleId="22">
    <w:name w:val="gwds_more"/>
    <w:basedOn w:val="10"/>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3</Pages>
  <Words>201</Words>
  <Characters>1150</Characters>
  <Lines>0</Lines>
  <Paragraphs>0</Paragraphs>
  <TotalTime>11</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2019-12-03T02:47:00Z</dcterms:created>
  <dc:creator>undefined</dc:creator>
  <cp:lastModifiedBy>Administrator</cp:lastModifiedBy>
  <cp:lastPrinted>2021-01-11T01:15:16Z</cp:lastPrinted>
  <dcterms:modified xsi:type="dcterms:W3CDTF">2021-01-11T01:17:30Z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