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宋体" w:hAnsi="宋体" w:cs="宋体"/>
          <w:b/>
          <w:bCs/>
          <w:kern w:val="0"/>
          <w:sz w:val="36"/>
          <w:szCs w:val="36"/>
          <w:lang w:eastAsia="zh-CN"/>
        </w:rPr>
      </w:pPr>
      <w:r>
        <w:rPr>
          <w:rFonts w:hint="eastAsia" w:ascii="宋体" w:hAnsi="宋体" w:cs="宋体"/>
          <w:b/>
          <w:bCs/>
          <w:kern w:val="0"/>
          <w:sz w:val="36"/>
          <w:szCs w:val="36"/>
          <w:lang w:eastAsia="zh-CN"/>
        </w:rPr>
        <w:t>山海关区古城保护发展中心</w:t>
      </w:r>
    </w:p>
    <w:p>
      <w:pPr>
        <w:widowControl/>
        <w:jc w:val="center"/>
        <w:rPr>
          <w:rFonts w:ascii="宋体" w:cs="Times New Roman"/>
          <w:b/>
          <w:bCs/>
          <w:kern w:val="0"/>
          <w:sz w:val="24"/>
          <w:szCs w:val="24"/>
        </w:rPr>
      </w:pPr>
      <w:r>
        <w:rPr>
          <w:rFonts w:hint="eastAsia" w:ascii="宋体" w:hAnsi="宋体" w:cs="宋体"/>
          <w:b/>
          <w:bCs/>
          <w:kern w:val="0"/>
          <w:sz w:val="36"/>
          <w:szCs w:val="36"/>
          <w:lang w:val="en-US" w:eastAsia="zh-CN"/>
        </w:rPr>
        <w:t>2020年</w:t>
      </w:r>
      <w:r>
        <w:rPr>
          <w:rFonts w:hint="eastAsia" w:ascii="宋体" w:hAnsi="宋体" w:cs="宋体"/>
          <w:b/>
          <w:bCs/>
          <w:kern w:val="0"/>
          <w:sz w:val="36"/>
          <w:szCs w:val="36"/>
        </w:rPr>
        <w:t>政府信息公开工作年度报告</w:t>
      </w:r>
    </w:p>
    <w:p>
      <w:pPr>
        <w:widowControl/>
        <w:ind w:firstLine="480"/>
        <w:rPr>
          <w:rFonts w:ascii="宋体" w:cs="Times New Roman"/>
          <w:kern w:val="0"/>
          <w:sz w:val="24"/>
          <w:szCs w:val="24"/>
        </w:rPr>
      </w:pPr>
    </w:p>
    <w:p>
      <w:pPr>
        <w:widowControl/>
        <w:ind w:firstLine="480"/>
        <w:rPr>
          <w:rFonts w:ascii="宋体" w:cs="Times New Roman"/>
          <w:kern w:val="0"/>
          <w:sz w:val="28"/>
          <w:szCs w:val="28"/>
        </w:rPr>
      </w:pPr>
      <w:r>
        <w:rPr>
          <w:rFonts w:hint="eastAsia" w:ascii="宋体" w:hAnsi="宋体" w:cs="宋体"/>
          <w:kern w:val="0"/>
          <w:sz w:val="28"/>
          <w:szCs w:val="28"/>
        </w:rPr>
        <w:t>一、总体情况</w:t>
      </w: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2020年，我中心在区委、区政府的正确领导下，紧密结合古城保护开发工作，不断规范政府信息公开内容，创新政府信息公开形式，突出政府信息公开重点，提升政府信息公开水平。按照</w:t>
      </w:r>
      <w:r>
        <w:rPr>
          <w:rFonts w:hint="eastAsia" w:ascii="宋体" w:hAnsi="宋体" w:cs="宋体"/>
          <w:sz w:val="28"/>
          <w:szCs w:val="28"/>
          <w:lang w:eastAsia="zh-CN"/>
        </w:rPr>
        <w:t>上级有关</w:t>
      </w:r>
      <w:r>
        <w:rPr>
          <w:rFonts w:hint="eastAsia" w:ascii="宋体" w:hAnsi="宋体" w:eastAsia="宋体" w:cs="宋体"/>
          <w:sz w:val="28"/>
          <w:szCs w:val="28"/>
        </w:rPr>
        <w:t>要求，现结合我中心工作实际，将本年度政务公开工作总结如下：</w:t>
      </w:r>
    </w:p>
    <w:p>
      <w:pPr>
        <w:ind w:firstLine="560" w:firstLineChars="200"/>
        <w:jc w:val="left"/>
        <w:rPr>
          <w:rFonts w:hint="eastAsia" w:ascii="宋体" w:hAnsi="宋体" w:eastAsia="宋体" w:cs="宋体"/>
          <w:sz w:val="28"/>
          <w:szCs w:val="28"/>
        </w:rPr>
      </w:pPr>
      <w:r>
        <w:rPr>
          <w:rFonts w:hint="eastAsia" w:ascii="宋体" w:hAnsi="宋体" w:cs="宋体"/>
          <w:sz w:val="28"/>
          <w:szCs w:val="28"/>
          <w:lang w:eastAsia="zh-CN"/>
        </w:rPr>
        <w:t>（一）</w:t>
      </w:r>
      <w:r>
        <w:rPr>
          <w:rFonts w:hint="eastAsia" w:ascii="宋体" w:hAnsi="宋体" w:eastAsia="宋体" w:cs="宋体"/>
          <w:sz w:val="28"/>
          <w:szCs w:val="28"/>
        </w:rPr>
        <w:t>重点领域政府信息公开工作</w:t>
      </w:r>
    </w:p>
    <w:p>
      <w:pPr>
        <w:ind w:firstLine="560" w:firstLineChars="200"/>
        <w:jc w:val="left"/>
        <w:rPr>
          <w:rFonts w:hint="eastAsia" w:ascii="宋体" w:hAnsi="宋体" w:eastAsia="宋体" w:cs="宋体"/>
          <w:sz w:val="28"/>
          <w:szCs w:val="28"/>
        </w:rPr>
      </w:pPr>
      <w:r>
        <w:rPr>
          <w:rFonts w:hint="eastAsia" w:ascii="宋体" w:hAnsi="宋体" w:cs="宋体"/>
          <w:sz w:val="28"/>
          <w:szCs w:val="28"/>
          <w:lang w:val="en-US" w:eastAsia="zh-CN"/>
        </w:rPr>
        <w:t>1.</w:t>
      </w:r>
      <w:r>
        <w:rPr>
          <w:rFonts w:hint="eastAsia" w:ascii="宋体" w:hAnsi="宋体" w:eastAsia="宋体" w:cs="宋体"/>
          <w:sz w:val="28"/>
          <w:szCs w:val="28"/>
        </w:rPr>
        <w:t>六稳六保方面</w:t>
      </w:r>
      <w:r>
        <w:rPr>
          <w:rFonts w:hint="eastAsia" w:ascii="宋体" w:hAnsi="宋体" w:cs="宋体"/>
          <w:sz w:val="28"/>
          <w:szCs w:val="28"/>
          <w:lang w:eastAsia="zh-CN"/>
        </w:rPr>
        <w:t>。</w:t>
      </w:r>
      <w:r>
        <w:rPr>
          <w:rFonts w:hint="eastAsia" w:ascii="宋体" w:hAnsi="宋体" w:eastAsia="宋体" w:cs="宋体"/>
          <w:sz w:val="28"/>
          <w:szCs w:val="28"/>
        </w:rPr>
        <w:t>我中心以习近平新时代中国特色社会主义思想为指导，全面贯彻党的十九大和十九届二中、三中、四中、五中全会精神，坚持以人民为中心的发展思想，认真落实党中央、国务院关于政务公开工作的决策部署，聚焦做好“六稳”工作、落实“六保”任务，优化营商环境，以公开促落实、促规范、促服务，为实现古城高质量发展目标任务提供有力支撑。</w:t>
      </w:r>
    </w:p>
    <w:p>
      <w:pPr>
        <w:ind w:firstLine="560" w:firstLineChars="200"/>
        <w:jc w:val="left"/>
        <w:rPr>
          <w:rFonts w:hint="eastAsia" w:ascii="宋体" w:hAnsi="宋体" w:eastAsia="宋体" w:cs="宋体"/>
          <w:sz w:val="28"/>
          <w:szCs w:val="28"/>
        </w:rPr>
      </w:pPr>
      <w:r>
        <w:rPr>
          <w:rFonts w:hint="eastAsia" w:ascii="宋体" w:hAnsi="宋体" w:cs="宋体"/>
          <w:sz w:val="28"/>
          <w:szCs w:val="28"/>
          <w:lang w:val="en-US" w:eastAsia="zh-CN"/>
        </w:rPr>
        <w:t>2.</w:t>
      </w:r>
      <w:r>
        <w:rPr>
          <w:rFonts w:hint="eastAsia" w:ascii="宋体" w:hAnsi="宋体" w:eastAsia="宋体" w:cs="宋体"/>
          <w:sz w:val="28"/>
          <w:szCs w:val="28"/>
        </w:rPr>
        <w:t>疫情防控方面</w:t>
      </w:r>
      <w:r>
        <w:rPr>
          <w:rFonts w:hint="eastAsia" w:ascii="宋体" w:hAnsi="宋体" w:cs="宋体"/>
          <w:sz w:val="28"/>
          <w:szCs w:val="28"/>
          <w:lang w:eastAsia="zh-CN"/>
        </w:rPr>
        <w:t>。</w:t>
      </w:r>
      <w:r>
        <w:rPr>
          <w:rFonts w:hint="eastAsia" w:ascii="宋体" w:hAnsi="宋体" w:eastAsia="宋体" w:cs="宋体"/>
          <w:sz w:val="28"/>
          <w:szCs w:val="28"/>
        </w:rPr>
        <w:t>新型冠状病毒感染的肺炎疫情发生后，我中心把疫情防控工作作为重要政治任务，向古城内商户及居民广泛宣传防疫知识、强化政策解读、加强舆论引导、积极回应社会关切，筑牢抗击疫情政务公开阵地，为全市疫情防控工作营造良好社会环境。</w:t>
      </w:r>
    </w:p>
    <w:p>
      <w:pPr>
        <w:ind w:firstLine="560" w:firstLineChars="200"/>
        <w:jc w:val="left"/>
        <w:rPr>
          <w:rFonts w:hint="eastAsia" w:ascii="宋体" w:hAnsi="宋体" w:eastAsia="宋体" w:cs="宋体"/>
          <w:sz w:val="28"/>
          <w:szCs w:val="28"/>
        </w:rPr>
      </w:pPr>
      <w:r>
        <w:rPr>
          <w:rFonts w:hint="eastAsia" w:ascii="宋体" w:hAnsi="宋体" w:cs="宋体"/>
          <w:sz w:val="28"/>
          <w:szCs w:val="28"/>
          <w:lang w:val="en-US" w:eastAsia="zh-CN"/>
        </w:rPr>
        <w:t>3.</w:t>
      </w:r>
      <w:r>
        <w:rPr>
          <w:rFonts w:hint="eastAsia" w:ascii="宋体" w:hAnsi="宋体" w:eastAsia="宋体" w:cs="宋体"/>
          <w:sz w:val="28"/>
          <w:szCs w:val="28"/>
        </w:rPr>
        <w:t>重点项目建设方面</w:t>
      </w:r>
      <w:r>
        <w:rPr>
          <w:rFonts w:hint="eastAsia" w:ascii="宋体" w:hAnsi="宋体" w:cs="宋体"/>
          <w:sz w:val="28"/>
          <w:szCs w:val="28"/>
          <w:lang w:eastAsia="zh-CN"/>
        </w:rPr>
        <w:t>。</w:t>
      </w:r>
      <w:r>
        <w:rPr>
          <w:rFonts w:hint="eastAsia" w:ascii="宋体" w:hAnsi="宋体" w:eastAsia="宋体" w:cs="宋体"/>
          <w:sz w:val="28"/>
          <w:szCs w:val="28"/>
        </w:rPr>
        <w:t>根据《山海关区古城保护发展中心政务公开事项目录》，我中心第一时间将本单位涉及的重点项目建设方面事项于政府网站及政务公开栏公开。在重大建设项目批准和实施过程中，重点公开批准服务信息、批准结果信息、招标投标信息、征收土地信息、重大设计变更信息、施工有关信息、质量安全监督信息、竣工有关信息等信息，以公开提升项目批准、实施的透明度和效率，保障人民群众合法权益。</w:t>
      </w:r>
    </w:p>
    <w:p>
      <w:pPr>
        <w:ind w:firstLine="560" w:firstLineChars="200"/>
        <w:jc w:val="left"/>
        <w:rPr>
          <w:rFonts w:hint="eastAsia" w:ascii="宋体" w:hAnsi="宋体" w:eastAsia="宋体" w:cs="宋体"/>
          <w:sz w:val="28"/>
          <w:szCs w:val="28"/>
        </w:rPr>
      </w:pPr>
      <w:r>
        <w:rPr>
          <w:rFonts w:hint="eastAsia" w:ascii="宋体" w:hAnsi="宋体" w:cs="宋体"/>
          <w:sz w:val="28"/>
          <w:szCs w:val="28"/>
          <w:lang w:val="en-US" w:eastAsia="zh-CN"/>
        </w:rPr>
        <w:t>4.</w:t>
      </w:r>
      <w:r>
        <w:rPr>
          <w:rFonts w:hint="eastAsia" w:ascii="宋体" w:hAnsi="宋体" w:eastAsia="宋体" w:cs="宋体"/>
          <w:sz w:val="28"/>
          <w:szCs w:val="28"/>
        </w:rPr>
        <w:t>打好三大攻坚战方面</w:t>
      </w:r>
      <w:r>
        <w:rPr>
          <w:rFonts w:hint="eastAsia" w:ascii="宋体" w:hAnsi="宋体" w:cs="宋体"/>
          <w:sz w:val="28"/>
          <w:szCs w:val="28"/>
          <w:lang w:eastAsia="zh-CN"/>
        </w:rPr>
        <w:t>。</w:t>
      </w:r>
      <w:r>
        <w:rPr>
          <w:rFonts w:hint="eastAsia" w:ascii="宋体" w:hAnsi="宋体" w:eastAsia="宋体" w:cs="宋体"/>
          <w:sz w:val="28"/>
          <w:szCs w:val="28"/>
        </w:rPr>
        <w:t>我中心先后</w:t>
      </w:r>
      <w:r>
        <w:rPr>
          <w:rFonts w:hint="eastAsia" w:ascii="宋体" w:hAnsi="宋体" w:cs="宋体"/>
          <w:sz w:val="28"/>
          <w:szCs w:val="28"/>
          <w:lang w:val="en-US" w:eastAsia="zh-CN"/>
        </w:rPr>
        <w:t>6</w:t>
      </w:r>
      <w:r>
        <w:rPr>
          <w:rFonts w:hint="eastAsia" w:ascii="宋体" w:hAnsi="宋体" w:eastAsia="宋体" w:cs="宋体"/>
          <w:sz w:val="28"/>
          <w:szCs w:val="28"/>
        </w:rPr>
        <w:t>次组织到青龙杨树底下村对口帮扶点开展扶贫慰问活动，并在帮扶点设立公示牌。深入到结对帮扶的4户贫困户家中，讲解有关扶贫救助的政策，让其深切感受到党和政府的关怀和温暖。根据区委组织部安排的包后进村任务，我中心对孟姜镇梁家沟村进行帮扶，先后出资4000余元帮助村里解决了村碑、公示栏等基础设施，得到了村民的高度赞扬。</w:t>
      </w:r>
    </w:p>
    <w:p>
      <w:pPr>
        <w:ind w:firstLine="560" w:firstLineChars="200"/>
        <w:jc w:val="left"/>
        <w:rPr>
          <w:rFonts w:hint="eastAsia" w:ascii="宋体" w:hAnsi="宋体" w:eastAsia="宋体" w:cs="宋体"/>
          <w:sz w:val="28"/>
          <w:szCs w:val="28"/>
        </w:rPr>
      </w:pPr>
      <w:r>
        <w:rPr>
          <w:rFonts w:hint="eastAsia" w:ascii="宋体" w:hAnsi="宋体" w:cs="宋体"/>
          <w:sz w:val="28"/>
          <w:szCs w:val="28"/>
          <w:lang w:val="en-US" w:eastAsia="zh-CN"/>
        </w:rPr>
        <w:t>5.</w:t>
      </w:r>
      <w:r>
        <w:rPr>
          <w:rFonts w:hint="eastAsia" w:ascii="宋体" w:hAnsi="宋体" w:eastAsia="宋体" w:cs="宋体"/>
          <w:sz w:val="28"/>
          <w:szCs w:val="28"/>
        </w:rPr>
        <w:t>保障和改善民生方面</w:t>
      </w:r>
      <w:r>
        <w:rPr>
          <w:rFonts w:hint="eastAsia" w:ascii="宋体" w:hAnsi="宋体" w:cs="宋体"/>
          <w:sz w:val="28"/>
          <w:szCs w:val="28"/>
          <w:lang w:eastAsia="zh-CN"/>
        </w:rPr>
        <w:t>。</w:t>
      </w:r>
      <w:r>
        <w:rPr>
          <w:rFonts w:hint="eastAsia" w:ascii="宋体" w:hAnsi="宋体" w:eastAsia="宋体" w:cs="宋体"/>
          <w:sz w:val="28"/>
          <w:szCs w:val="28"/>
        </w:rPr>
        <w:t>我中心坚持把增进民生福祉作为一切工作的出发点和落脚点，通过政务公开让公众更大程度参与政策制定、执行和监督，不断实现好、维护好、发展好最广大人民的根本利益。树立“还权于民”和“公开是义务不是施舍”的服务观念，建立政务公开促进科学决策的思维方式，强化政务公开的自觉意识,完善政务公开制度，用制度保证政务公开工作更及时、更充分、更合理，切实维护好人民群众建言献策、表达诉求等民主政治权利，让人民群众拥有更多获得感。</w:t>
      </w:r>
    </w:p>
    <w:p>
      <w:pPr>
        <w:ind w:firstLine="560" w:firstLineChars="200"/>
        <w:jc w:val="left"/>
        <w:rPr>
          <w:rFonts w:hint="eastAsia" w:ascii="宋体" w:hAnsi="宋体" w:eastAsia="宋体" w:cs="宋体"/>
          <w:sz w:val="28"/>
          <w:szCs w:val="28"/>
        </w:rPr>
      </w:pPr>
      <w:r>
        <w:rPr>
          <w:rFonts w:hint="eastAsia" w:ascii="宋体" w:hAnsi="宋体" w:cs="宋体"/>
          <w:sz w:val="28"/>
          <w:szCs w:val="28"/>
          <w:lang w:eastAsia="zh-CN"/>
        </w:rPr>
        <w:t>（二）</w:t>
      </w:r>
      <w:r>
        <w:rPr>
          <w:rFonts w:hint="eastAsia" w:ascii="宋体" w:hAnsi="宋体" w:eastAsia="宋体" w:cs="宋体"/>
          <w:sz w:val="28"/>
          <w:szCs w:val="28"/>
        </w:rPr>
        <w:t>基层政务公开标准化工作</w:t>
      </w: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截至今年，我中心共编制政务公开清单16项，依据《中华人民共和国政府信息公开条例》、《河北省实施&lt;中华人民共和国政府信息公开条例&gt;办法》等法律法规规章规范性文件及时对外公开，公开时限为20个工作日，公开载体主要为政府网站及政务公开栏，公开对象为全社会，公开方式为主动公开。负面清单7项，主要类别为国家秘密类、内部事务信息类等，不公开依据为《中华人民共和国政府信息公开条例》第十四条、第十五条及第十六条。</w:t>
      </w:r>
    </w:p>
    <w:p>
      <w:pPr>
        <w:ind w:firstLine="560" w:firstLineChars="200"/>
        <w:jc w:val="left"/>
        <w:rPr>
          <w:rFonts w:hint="eastAsia" w:ascii="宋体" w:hAnsi="宋体" w:eastAsia="宋体" w:cs="宋体"/>
          <w:sz w:val="28"/>
          <w:szCs w:val="28"/>
        </w:rPr>
      </w:pPr>
      <w:r>
        <w:rPr>
          <w:rFonts w:hint="eastAsia" w:ascii="宋体" w:hAnsi="宋体" w:cs="宋体"/>
          <w:sz w:val="28"/>
          <w:szCs w:val="28"/>
          <w:lang w:eastAsia="zh-CN"/>
        </w:rPr>
        <w:t>（三）</w:t>
      </w:r>
      <w:r>
        <w:rPr>
          <w:rFonts w:hint="eastAsia" w:ascii="宋体" w:hAnsi="宋体" w:eastAsia="宋体" w:cs="宋体"/>
          <w:sz w:val="28"/>
          <w:szCs w:val="28"/>
        </w:rPr>
        <w:t>健全解读回应机制情况</w:t>
      </w: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古城保护条例》即将颁布出台，相关解读材料届时将在政务公开载体上同步发布。我中心通过召集古城内商户、施工单位及走访居民的方式对古城内经营管理、安全生产等内容进行沟通，广泛听取各方意见，提高了《古城保护条例》制定的科学性。</w:t>
      </w: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在信访问题方面，我中心工作人员对法律法规应用等方面，结合现有政策，对信访人提出的信访内容逐一进行解答，保障群众知情权。</w:t>
      </w:r>
    </w:p>
    <w:p>
      <w:pPr>
        <w:ind w:firstLine="560" w:firstLineChars="200"/>
        <w:jc w:val="left"/>
        <w:rPr>
          <w:rFonts w:hint="eastAsia" w:ascii="宋体" w:hAnsi="宋体" w:eastAsia="宋体" w:cs="宋体"/>
          <w:sz w:val="28"/>
          <w:szCs w:val="28"/>
        </w:rPr>
      </w:pPr>
      <w:r>
        <w:rPr>
          <w:rFonts w:hint="eastAsia" w:ascii="宋体" w:hAnsi="宋体" w:cs="宋体"/>
          <w:sz w:val="28"/>
          <w:szCs w:val="28"/>
          <w:lang w:eastAsia="zh-CN"/>
        </w:rPr>
        <w:t>（四）</w:t>
      </w:r>
      <w:r>
        <w:rPr>
          <w:rFonts w:hint="eastAsia" w:ascii="宋体" w:hAnsi="宋体" w:eastAsia="宋体" w:cs="宋体"/>
          <w:sz w:val="28"/>
          <w:szCs w:val="28"/>
        </w:rPr>
        <w:t>依法依规办理依申请公开工作情况</w:t>
      </w: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山海关区人民政府制定了《政务公开工作实施方案》，明确了申请公开的内容、范围、形式和程序等，我中心认真研究申请人申请公开的相关信息，按照申请人要求的信息介质和获取方式，在规定期限内反馈申请人。同时，我中心设立了监督电话，主动接受社会监督，明确由主要负责人负责对信息公开的实施情况进行监督、检查。我中心今年共处理一起公民依申请公开答复，根据《政府信息公开申请表》，涉及内容属于可公开类别内，第一时间向申请人公开了相关信息。</w:t>
      </w:r>
    </w:p>
    <w:p>
      <w:pPr>
        <w:ind w:firstLine="560" w:firstLineChars="200"/>
        <w:jc w:val="left"/>
        <w:rPr>
          <w:rFonts w:hint="eastAsia" w:ascii="宋体" w:hAnsi="宋体" w:eastAsia="宋体" w:cs="宋体"/>
          <w:sz w:val="28"/>
          <w:szCs w:val="28"/>
        </w:rPr>
      </w:pPr>
      <w:r>
        <w:rPr>
          <w:rFonts w:hint="eastAsia" w:ascii="宋体" w:hAnsi="宋体" w:cs="宋体"/>
          <w:sz w:val="28"/>
          <w:szCs w:val="28"/>
          <w:lang w:eastAsia="zh-CN"/>
        </w:rPr>
        <w:t>（五）</w:t>
      </w:r>
      <w:r>
        <w:rPr>
          <w:rFonts w:hint="eastAsia" w:ascii="宋体" w:hAnsi="宋体" w:eastAsia="宋体" w:cs="宋体"/>
          <w:sz w:val="28"/>
          <w:szCs w:val="28"/>
        </w:rPr>
        <w:t>政务公开载体建设情况</w:t>
      </w: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我中心政务公开的主要载体一方面为“山海关区人民政府”网站，历年以来，我中心有专人对政务信息公开进行管理。2020年，我中心及时对网站内《每日工作报告》进行更新，同时公开了</w:t>
      </w:r>
      <w:r>
        <w:rPr>
          <w:rFonts w:hint="eastAsia" w:ascii="宋体" w:hAnsi="宋体" w:cs="宋体"/>
          <w:sz w:val="28"/>
          <w:szCs w:val="28"/>
          <w:lang w:val="en-US" w:eastAsia="zh-CN"/>
        </w:rPr>
        <w:t>12</w:t>
      </w:r>
      <w:r>
        <w:rPr>
          <w:rFonts w:hint="eastAsia" w:ascii="宋体" w:hAnsi="宋体" w:eastAsia="宋体" w:cs="宋体"/>
          <w:sz w:val="28"/>
          <w:szCs w:val="28"/>
        </w:rPr>
        <w:t>条工作部署、1条机关简介、1条领导成员分工，并在第一时间在网站向社会发布我中心工作最新动态；另一方面为创建相关微信群，拓宽信息公开渠道，在群内及时向古城内商户、企业公布相关政策法规，加强舆论引导。</w:t>
      </w:r>
    </w:p>
    <w:p>
      <w:pPr>
        <w:ind w:firstLine="560" w:firstLineChars="200"/>
        <w:jc w:val="left"/>
        <w:rPr>
          <w:rFonts w:hint="eastAsia" w:ascii="宋体" w:hAnsi="宋体" w:eastAsia="宋体" w:cs="宋体"/>
          <w:sz w:val="28"/>
          <w:szCs w:val="28"/>
        </w:rPr>
      </w:pPr>
      <w:r>
        <w:rPr>
          <w:rFonts w:hint="eastAsia" w:ascii="宋体" w:hAnsi="宋体" w:cs="宋体"/>
          <w:sz w:val="28"/>
          <w:szCs w:val="28"/>
          <w:lang w:eastAsia="zh-CN"/>
        </w:rPr>
        <w:t>（六）</w:t>
      </w:r>
      <w:r>
        <w:rPr>
          <w:rFonts w:hint="eastAsia" w:ascii="宋体" w:hAnsi="宋体" w:eastAsia="宋体" w:cs="宋体"/>
          <w:sz w:val="28"/>
          <w:szCs w:val="28"/>
        </w:rPr>
        <w:t>下一年度工作设想及安排</w:t>
      </w:r>
    </w:p>
    <w:p>
      <w:pPr>
        <w:ind w:firstLine="560" w:firstLineChars="200"/>
        <w:jc w:val="left"/>
        <w:rPr>
          <w:rFonts w:hint="eastAsia" w:ascii="宋体" w:hAnsi="宋体" w:eastAsia="宋体" w:cs="宋体"/>
          <w:sz w:val="28"/>
          <w:szCs w:val="28"/>
        </w:rPr>
      </w:pPr>
      <w:r>
        <w:rPr>
          <w:rFonts w:hint="eastAsia" w:ascii="宋体" w:hAnsi="宋体" w:cs="宋体"/>
          <w:sz w:val="28"/>
          <w:szCs w:val="28"/>
          <w:lang w:val="en-US" w:eastAsia="zh-CN"/>
        </w:rPr>
        <w:t>1.</w:t>
      </w:r>
      <w:r>
        <w:rPr>
          <w:rFonts w:hint="eastAsia" w:ascii="宋体" w:hAnsi="宋体" w:eastAsia="宋体" w:cs="宋体"/>
          <w:sz w:val="28"/>
          <w:szCs w:val="28"/>
        </w:rPr>
        <w:t>进一步加强日常管理工作</w:t>
      </w:r>
      <w:r>
        <w:rPr>
          <w:rFonts w:hint="eastAsia" w:ascii="宋体" w:hAnsi="宋体" w:cs="宋体"/>
          <w:sz w:val="28"/>
          <w:szCs w:val="28"/>
          <w:lang w:eastAsia="zh-CN"/>
        </w:rPr>
        <w:t>。</w:t>
      </w:r>
      <w:r>
        <w:rPr>
          <w:rFonts w:hint="eastAsia" w:ascii="宋体" w:hAnsi="宋体" w:eastAsia="宋体" w:cs="宋体"/>
          <w:sz w:val="28"/>
          <w:szCs w:val="28"/>
        </w:rPr>
        <w:t>继续强化专人负责信息公开工作，明确工作职责，以服务群众为目的，进一步加强政府信息公开通过多种渠道进行宣传，以提高群众对政府信息公开的知晓率和参与度。在规定的政府公开信息范围内，及时发布和更新依法应主动公开的政府信息，并做好答复依申请公开政府信息工作；充分利用好政府网站，实现政务信息公开化，切实提高办事透明度，努力提高政府行政效能和公信力。适时梳理信息公开内容，研究制定完善有关制度，扎实推进政府信息公开各项工作。</w:t>
      </w:r>
    </w:p>
    <w:p>
      <w:pPr>
        <w:ind w:firstLine="560" w:firstLineChars="200"/>
        <w:jc w:val="left"/>
        <w:rPr>
          <w:rFonts w:hint="eastAsia" w:ascii="宋体" w:hAnsi="宋体" w:eastAsia="宋体" w:cs="宋体"/>
          <w:sz w:val="28"/>
          <w:szCs w:val="28"/>
        </w:rPr>
      </w:pPr>
      <w:r>
        <w:rPr>
          <w:rFonts w:hint="eastAsia" w:ascii="宋体" w:hAnsi="宋体" w:cs="宋体"/>
          <w:sz w:val="28"/>
          <w:szCs w:val="28"/>
          <w:lang w:val="en-US" w:eastAsia="zh-CN"/>
        </w:rPr>
        <w:t>2.</w:t>
      </w:r>
      <w:r>
        <w:rPr>
          <w:rFonts w:hint="eastAsia" w:ascii="宋体" w:hAnsi="宋体" w:eastAsia="宋体" w:cs="宋体"/>
          <w:sz w:val="28"/>
          <w:szCs w:val="28"/>
        </w:rPr>
        <w:t>进一步丰富政务公开方式</w:t>
      </w:r>
      <w:r>
        <w:rPr>
          <w:rFonts w:hint="eastAsia" w:ascii="宋体" w:hAnsi="宋体" w:cs="宋体"/>
          <w:sz w:val="28"/>
          <w:szCs w:val="28"/>
          <w:lang w:eastAsia="zh-CN"/>
        </w:rPr>
        <w:t>。</w:t>
      </w:r>
      <w:r>
        <w:rPr>
          <w:rFonts w:hint="eastAsia" w:ascii="宋体" w:hAnsi="宋体" w:eastAsia="宋体" w:cs="宋体"/>
          <w:sz w:val="28"/>
          <w:szCs w:val="28"/>
        </w:rPr>
        <w:t>以社会需求为导向，在不断深化政府信息公开内容的同时，努力做到公开方式灵活多样。《古城保护条例》即将颁布实施，在颁布后我中心将本着规范、实用、简便、易行的原则，通过会议、宣传册等多种便于公众知晓的方式及时对外界公开，更好的为经济社会发展和人民群众服务。</w:t>
      </w:r>
    </w:p>
    <w:p>
      <w:pPr>
        <w:ind w:firstLine="560" w:firstLineChars="200"/>
        <w:jc w:val="left"/>
        <w:rPr>
          <w:rFonts w:hint="eastAsia" w:ascii="宋体" w:hAnsi="宋体" w:cs="宋体"/>
          <w:kern w:val="0"/>
          <w:sz w:val="28"/>
          <w:szCs w:val="28"/>
        </w:rPr>
      </w:pPr>
      <w:r>
        <w:rPr>
          <w:rFonts w:hint="eastAsia" w:ascii="宋体" w:hAnsi="宋体" w:cs="宋体"/>
          <w:sz w:val="28"/>
          <w:szCs w:val="28"/>
          <w:lang w:val="en-US" w:eastAsia="zh-CN"/>
        </w:rPr>
        <w:t>3.</w:t>
      </w:r>
      <w:r>
        <w:rPr>
          <w:rFonts w:hint="eastAsia" w:ascii="宋体" w:hAnsi="宋体" w:eastAsia="宋体" w:cs="宋体"/>
          <w:sz w:val="28"/>
          <w:szCs w:val="28"/>
        </w:rPr>
        <w:t>全面落实依法行政、依法治国</w:t>
      </w:r>
      <w:r>
        <w:rPr>
          <w:rFonts w:hint="eastAsia" w:ascii="宋体" w:hAnsi="宋体" w:cs="宋体"/>
          <w:sz w:val="28"/>
          <w:szCs w:val="28"/>
          <w:lang w:eastAsia="zh-CN"/>
        </w:rPr>
        <w:t>。</w:t>
      </w:r>
      <w:r>
        <w:rPr>
          <w:rFonts w:hint="eastAsia" w:ascii="宋体" w:hAnsi="宋体" w:eastAsia="宋体" w:cs="宋体"/>
          <w:sz w:val="28"/>
          <w:szCs w:val="28"/>
        </w:rPr>
        <w:t>以习近平新时代中国特色社会主义思想为指导，深入贯彻落实党的十九届五中全会会议精神新要求。政务公开是依法行政、依法治国,建设法治国家的需要，扎实推进政务公开工作，进一步增强中心依法行政、依法治国意识，增强做好政务公开工作的自觉性和责任感，强化责任落实，完善工作机制，提高办事效率，加强与廉政建设、效能建设、行风建设和推进依法行政等工作的协同配合，保证政务公开工作扎实推进。</w:t>
      </w:r>
    </w:p>
    <w:p>
      <w:pPr>
        <w:widowControl/>
        <w:spacing w:after="240"/>
        <w:ind w:firstLine="480"/>
        <w:rPr>
          <w:rFonts w:ascii="宋体" w:cs="Times New Roman"/>
          <w:kern w:val="0"/>
          <w:sz w:val="28"/>
          <w:szCs w:val="28"/>
        </w:rPr>
      </w:pPr>
      <w:r>
        <w:rPr>
          <w:rFonts w:hint="eastAsia" w:ascii="宋体" w:hAnsi="宋体" w:cs="宋体"/>
          <w:kern w:val="0"/>
          <w:sz w:val="28"/>
          <w:szCs w:val="28"/>
        </w:rPr>
        <w:t>二、主动公开政府信息情况</w:t>
      </w:r>
    </w:p>
    <w:tbl>
      <w:tblPr>
        <w:tblStyle w:val="9"/>
        <w:tblW w:w="8140" w:type="dxa"/>
        <w:jc w:val="center"/>
        <w:tblLayout w:type="autofit"/>
        <w:tblCellMar>
          <w:top w:w="0" w:type="dxa"/>
          <w:left w:w="108" w:type="dxa"/>
          <w:bottom w:w="0" w:type="dxa"/>
          <w:right w:w="108" w:type="dxa"/>
        </w:tblCellMar>
      </w:tblPr>
      <w:tblGrid>
        <w:gridCol w:w="3113"/>
        <w:gridCol w:w="1875"/>
        <w:gridCol w:w="6"/>
        <w:gridCol w:w="1265"/>
        <w:gridCol w:w="1881"/>
      </w:tblGrid>
      <w:tr>
        <w:tblPrEx>
          <w:tblCellMar>
            <w:top w:w="0" w:type="dxa"/>
            <w:left w:w="108" w:type="dxa"/>
            <w:bottom w:w="0" w:type="dxa"/>
            <w:right w:w="108" w:type="dxa"/>
          </w:tblCellMar>
        </w:tblPrEx>
        <w:trPr>
          <w:trHeight w:val="495" w:hRule="atLeast"/>
          <w:jc w:val="center"/>
        </w:trPr>
        <w:tc>
          <w:tcPr>
            <w:tcW w:w="8140" w:type="dxa"/>
            <w:gridSpan w:val="5"/>
            <w:tcBorders>
              <w:top w:val="single" w:color="auto" w:sz="4" w:space="0"/>
              <w:left w:val="single" w:color="auto" w:sz="4" w:space="0"/>
              <w:bottom w:val="single" w:color="auto" w:sz="4" w:space="0"/>
              <w:right w:val="single" w:color="auto" w:sz="4" w:space="0"/>
            </w:tcBorders>
            <w:shd w:val="clear" w:color="auto" w:fill="C6D9F1"/>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第二十条第（一）项</w:t>
            </w:r>
          </w:p>
        </w:tc>
      </w:tr>
      <w:tr>
        <w:tblPrEx>
          <w:tblCellMar>
            <w:top w:w="0" w:type="dxa"/>
            <w:left w:w="108" w:type="dxa"/>
            <w:bottom w:w="0" w:type="dxa"/>
            <w:right w:w="108" w:type="dxa"/>
          </w:tblCellMar>
        </w:tblPrEx>
        <w:trPr>
          <w:trHeight w:val="882"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信息内容</w:t>
            </w:r>
          </w:p>
        </w:tc>
        <w:tc>
          <w:tcPr>
            <w:tcW w:w="1875" w:type="dxa"/>
            <w:tcBorders>
              <w:top w:val="single" w:color="auto" w:sz="4" w:space="0"/>
              <w:left w:val="nil"/>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本年新</w:t>
            </w:r>
            <w:r>
              <w:rPr>
                <w:rFonts w:ascii="宋体" w:cs="Times New Roman"/>
                <w:color w:val="000000"/>
                <w:kern w:val="0"/>
                <w:sz w:val="20"/>
                <w:szCs w:val="20"/>
              </w:rPr>
              <w:br w:type="textWrapping"/>
            </w:r>
            <w:r>
              <w:rPr>
                <w:rFonts w:hint="eastAsia" w:ascii="宋体" w:hAnsi="宋体" w:cs="宋体"/>
                <w:kern w:val="0"/>
                <w:sz w:val="20"/>
                <w:szCs w:val="20"/>
              </w:rPr>
              <w:t>制作数量</w:t>
            </w:r>
          </w:p>
        </w:tc>
        <w:tc>
          <w:tcPr>
            <w:tcW w:w="1271" w:type="dxa"/>
            <w:gridSpan w:val="2"/>
            <w:tcBorders>
              <w:top w:val="single" w:color="auto" w:sz="4" w:space="0"/>
              <w:left w:val="nil"/>
              <w:bottom w:val="single" w:color="auto" w:sz="4" w:space="0"/>
              <w:right w:val="single" w:color="auto" w:sz="4" w:space="0"/>
            </w:tcBorders>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本年新</w:t>
            </w:r>
            <w:r>
              <w:rPr>
                <w:rFonts w:ascii="宋体" w:cs="Times New Roman"/>
                <w:color w:val="000000"/>
                <w:kern w:val="0"/>
                <w:sz w:val="20"/>
                <w:szCs w:val="20"/>
              </w:rPr>
              <w:br w:type="textWrapping"/>
            </w:r>
            <w:r>
              <w:rPr>
                <w:rFonts w:hint="eastAsia" w:ascii="宋体" w:hAnsi="宋体" w:cs="宋体"/>
                <w:kern w:val="0"/>
                <w:sz w:val="20"/>
                <w:szCs w:val="20"/>
              </w:rPr>
              <w:t>公开数量</w:t>
            </w:r>
          </w:p>
        </w:tc>
        <w:tc>
          <w:tcPr>
            <w:tcW w:w="1881" w:type="dxa"/>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对外公开总数量</w:t>
            </w:r>
          </w:p>
        </w:tc>
      </w:tr>
      <w:tr>
        <w:tblPrEx>
          <w:tblCellMar>
            <w:top w:w="0" w:type="dxa"/>
            <w:left w:w="108" w:type="dxa"/>
            <w:bottom w:w="0" w:type="dxa"/>
            <w:right w:w="108" w:type="dxa"/>
          </w:tblCellMar>
        </w:tblPrEx>
        <w:trPr>
          <w:trHeight w:val="523"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left"/>
              <w:rPr>
                <w:rFonts w:ascii="宋体" w:cs="Times New Roman"/>
                <w:kern w:val="0"/>
                <w:sz w:val="24"/>
                <w:szCs w:val="24"/>
              </w:rPr>
            </w:pPr>
            <w:r>
              <w:rPr>
                <w:rFonts w:hint="eastAsia" w:ascii="宋体" w:hAnsi="宋体" w:cs="宋体"/>
                <w:color w:val="000000"/>
                <w:kern w:val="0"/>
                <w:sz w:val="20"/>
                <w:szCs w:val="20"/>
              </w:rPr>
              <w:t>规章</w:t>
            </w:r>
          </w:p>
        </w:tc>
        <w:tc>
          <w:tcPr>
            <w:tcW w:w="1875" w:type="dxa"/>
            <w:tcBorders>
              <w:top w:val="single" w:color="auto" w:sz="4" w:space="0"/>
              <w:left w:val="nil"/>
              <w:bottom w:val="single" w:color="auto" w:sz="4" w:space="0"/>
              <w:right w:val="single" w:color="auto" w:sz="4" w:space="0"/>
            </w:tcBorders>
            <w:noWrap/>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ascii="宋体" w:hAnsi="宋体" w:cs="宋体"/>
                <w:color w:val="000000"/>
                <w:kern w:val="0"/>
                <w:sz w:val="20"/>
                <w:szCs w:val="20"/>
              </w:rPr>
              <w:t xml:space="preserve">  </w:t>
            </w:r>
            <w:r>
              <w:rPr>
                <w:rFonts w:hint="eastAsia" w:ascii="宋体" w:hAnsi="宋体" w:cs="宋体"/>
                <w:color w:val="000000"/>
                <w:kern w:val="0"/>
                <w:sz w:val="20"/>
                <w:szCs w:val="20"/>
                <w:lang w:val="en-US" w:eastAsia="zh-CN"/>
              </w:rPr>
              <w:t>0</w:t>
            </w:r>
          </w:p>
        </w:tc>
        <w:tc>
          <w:tcPr>
            <w:tcW w:w="1271" w:type="dxa"/>
            <w:gridSpan w:val="2"/>
            <w:tcBorders>
              <w:top w:val="single" w:color="auto" w:sz="4" w:space="0"/>
              <w:left w:val="nil"/>
              <w:bottom w:val="single" w:color="auto" w:sz="4" w:space="0"/>
              <w:right w:val="single" w:color="auto" w:sz="4" w:space="0"/>
            </w:tcBorders>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ascii="宋体" w:cs="Times New Roman"/>
                <w:color w:val="000000"/>
                <w:kern w:val="0"/>
                <w:sz w:val="20"/>
                <w:szCs w:val="20"/>
              </w:rPr>
              <w:t> </w:t>
            </w:r>
            <w:r>
              <w:rPr>
                <w:rFonts w:hint="eastAsia" w:ascii="宋体" w:cs="Times New Roman"/>
                <w:color w:val="000000"/>
                <w:kern w:val="0"/>
                <w:sz w:val="20"/>
                <w:szCs w:val="20"/>
                <w:lang w:val="en-US" w:eastAsia="zh-CN"/>
              </w:rPr>
              <w:t>0</w:t>
            </w:r>
          </w:p>
        </w:tc>
        <w:tc>
          <w:tcPr>
            <w:tcW w:w="1881" w:type="dxa"/>
            <w:tcBorders>
              <w:top w:val="nil"/>
              <w:left w:val="nil"/>
              <w:bottom w:val="single" w:color="auto" w:sz="4" w:space="0"/>
              <w:right w:val="single" w:color="auto" w:sz="4" w:space="0"/>
            </w:tcBorders>
            <w:noWrap/>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r>
      <w:tr>
        <w:tblPrEx>
          <w:tblCellMar>
            <w:top w:w="0" w:type="dxa"/>
            <w:left w:w="108" w:type="dxa"/>
            <w:bottom w:w="0" w:type="dxa"/>
            <w:right w:w="108" w:type="dxa"/>
          </w:tblCellMar>
        </w:tblPrEx>
        <w:trPr>
          <w:trHeight w:val="471"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left"/>
              <w:rPr>
                <w:rFonts w:ascii="宋体" w:cs="Times New Roman"/>
                <w:kern w:val="0"/>
                <w:sz w:val="24"/>
                <w:szCs w:val="24"/>
              </w:rPr>
            </w:pPr>
            <w:r>
              <w:rPr>
                <w:rFonts w:hint="eastAsia" w:ascii="宋体" w:hAnsi="宋体" w:cs="宋体"/>
                <w:color w:val="000000"/>
                <w:kern w:val="0"/>
                <w:sz w:val="20"/>
                <w:szCs w:val="20"/>
              </w:rPr>
              <w:t>规范性文件</w:t>
            </w:r>
          </w:p>
        </w:tc>
        <w:tc>
          <w:tcPr>
            <w:tcW w:w="1875" w:type="dxa"/>
            <w:tcBorders>
              <w:top w:val="nil"/>
              <w:left w:val="nil"/>
              <w:bottom w:val="single" w:color="auto" w:sz="4" w:space="0"/>
              <w:right w:val="single" w:color="auto" w:sz="4" w:space="0"/>
            </w:tcBorders>
            <w:noWrap/>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ascii="宋体" w:hAnsi="宋体" w:cs="宋体"/>
                <w:color w:val="000000"/>
                <w:kern w:val="0"/>
                <w:sz w:val="20"/>
                <w:szCs w:val="20"/>
              </w:rPr>
              <w:t xml:space="preserve">  </w:t>
            </w:r>
            <w:r>
              <w:rPr>
                <w:rFonts w:hint="eastAsia" w:ascii="宋体" w:hAnsi="宋体" w:cs="宋体"/>
                <w:color w:val="000000"/>
                <w:kern w:val="0"/>
                <w:sz w:val="20"/>
                <w:szCs w:val="20"/>
                <w:lang w:val="en-US" w:eastAsia="zh-CN"/>
              </w:rPr>
              <w:t>0</w:t>
            </w:r>
          </w:p>
        </w:tc>
        <w:tc>
          <w:tcPr>
            <w:tcW w:w="1271" w:type="dxa"/>
            <w:gridSpan w:val="2"/>
            <w:tcBorders>
              <w:top w:val="nil"/>
              <w:left w:val="nil"/>
              <w:bottom w:val="single" w:color="auto" w:sz="4" w:space="0"/>
              <w:right w:val="single" w:color="auto" w:sz="4" w:space="0"/>
            </w:tcBorders>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ascii="宋体" w:cs="Times New Roman"/>
                <w:color w:val="000000"/>
                <w:kern w:val="0"/>
                <w:sz w:val="20"/>
                <w:szCs w:val="20"/>
              </w:rPr>
              <w:t> </w:t>
            </w:r>
            <w:r>
              <w:rPr>
                <w:rFonts w:hint="eastAsia" w:ascii="宋体" w:cs="Times New Roman"/>
                <w:color w:val="000000"/>
                <w:kern w:val="0"/>
                <w:sz w:val="20"/>
                <w:szCs w:val="20"/>
                <w:lang w:val="en-US" w:eastAsia="zh-CN"/>
              </w:rPr>
              <w:t>0</w:t>
            </w:r>
          </w:p>
        </w:tc>
        <w:tc>
          <w:tcPr>
            <w:tcW w:w="1881" w:type="dxa"/>
            <w:tcBorders>
              <w:top w:val="nil"/>
              <w:left w:val="nil"/>
              <w:bottom w:val="single" w:color="auto" w:sz="4" w:space="0"/>
              <w:right w:val="single" w:color="auto" w:sz="4" w:space="0"/>
            </w:tcBorders>
            <w:noWrap/>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r>
      <w:tr>
        <w:tblPrEx>
          <w:tblCellMar>
            <w:top w:w="0" w:type="dxa"/>
            <w:left w:w="108" w:type="dxa"/>
            <w:bottom w:w="0" w:type="dxa"/>
            <w:right w:w="108" w:type="dxa"/>
          </w:tblCellMar>
        </w:tblPrEx>
        <w:trPr>
          <w:trHeight w:val="480" w:hRule="atLeast"/>
          <w:jc w:val="center"/>
        </w:trPr>
        <w:tc>
          <w:tcPr>
            <w:tcW w:w="8140" w:type="dxa"/>
            <w:gridSpan w:val="5"/>
            <w:tcBorders>
              <w:top w:val="single" w:color="auto" w:sz="4" w:space="0"/>
              <w:left w:val="single" w:color="auto" w:sz="4" w:space="0"/>
              <w:bottom w:val="single" w:color="auto" w:sz="4" w:space="0"/>
              <w:right w:val="single" w:color="auto" w:sz="4" w:space="0"/>
            </w:tcBorders>
            <w:shd w:val="clear" w:color="auto" w:fill="C6D9F1"/>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第二十条第（五）项</w:t>
            </w:r>
          </w:p>
        </w:tc>
      </w:tr>
      <w:tr>
        <w:tblPrEx>
          <w:tblCellMar>
            <w:top w:w="0" w:type="dxa"/>
            <w:left w:w="108" w:type="dxa"/>
            <w:bottom w:w="0" w:type="dxa"/>
            <w:right w:w="108" w:type="dxa"/>
          </w:tblCellMar>
        </w:tblPrEx>
        <w:trPr>
          <w:trHeight w:val="634"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信息内容</w:t>
            </w:r>
          </w:p>
        </w:tc>
        <w:tc>
          <w:tcPr>
            <w:tcW w:w="1875" w:type="dxa"/>
            <w:tcBorders>
              <w:top w:val="single" w:color="auto" w:sz="4" w:space="0"/>
              <w:left w:val="nil"/>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上一年项目数量</w:t>
            </w:r>
          </w:p>
        </w:tc>
        <w:tc>
          <w:tcPr>
            <w:tcW w:w="1271" w:type="dxa"/>
            <w:gridSpan w:val="2"/>
            <w:tcBorders>
              <w:top w:val="single" w:color="auto" w:sz="4" w:space="0"/>
              <w:left w:val="nil"/>
              <w:bottom w:val="single" w:color="auto" w:sz="4" w:space="0"/>
              <w:right w:val="single" w:color="auto" w:sz="4" w:space="0"/>
            </w:tcBorders>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本年增</w:t>
            </w:r>
            <w:r>
              <w:rPr>
                <w:rFonts w:ascii="宋体" w:hAnsi="宋体" w:cs="宋体"/>
                <w:color w:val="000000"/>
                <w:kern w:val="0"/>
                <w:sz w:val="20"/>
                <w:szCs w:val="20"/>
              </w:rPr>
              <w:t>/</w:t>
            </w:r>
            <w:r>
              <w:rPr>
                <w:rFonts w:hint="eastAsia" w:ascii="宋体" w:hAnsi="宋体" w:cs="宋体"/>
                <w:color w:val="000000"/>
                <w:kern w:val="0"/>
                <w:sz w:val="20"/>
                <w:szCs w:val="20"/>
              </w:rPr>
              <w:t>减</w:t>
            </w:r>
          </w:p>
        </w:tc>
        <w:tc>
          <w:tcPr>
            <w:tcW w:w="1881" w:type="dxa"/>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处理决定数量</w:t>
            </w:r>
          </w:p>
        </w:tc>
      </w:tr>
      <w:tr>
        <w:tblPrEx>
          <w:tblCellMar>
            <w:top w:w="0" w:type="dxa"/>
            <w:left w:w="108" w:type="dxa"/>
            <w:bottom w:w="0" w:type="dxa"/>
            <w:right w:w="108" w:type="dxa"/>
          </w:tblCellMar>
        </w:tblPrEx>
        <w:trPr>
          <w:trHeight w:val="528"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left"/>
              <w:rPr>
                <w:rFonts w:ascii="宋体" w:cs="Times New Roman"/>
                <w:kern w:val="0"/>
                <w:sz w:val="24"/>
                <w:szCs w:val="24"/>
              </w:rPr>
            </w:pPr>
            <w:r>
              <w:rPr>
                <w:rFonts w:hint="eastAsia" w:ascii="宋体" w:hAnsi="宋体" w:cs="宋体"/>
                <w:color w:val="000000"/>
                <w:kern w:val="0"/>
                <w:sz w:val="20"/>
                <w:szCs w:val="20"/>
              </w:rPr>
              <w:t>行政许可</w:t>
            </w:r>
          </w:p>
        </w:tc>
        <w:tc>
          <w:tcPr>
            <w:tcW w:w="1881" w:type="dxa"/>
            <w:gridSpan w:val="2"/>
            <w:tcBorders>
              <w:top w:val="nil"/>
              <w:left w:val="nil"/>
              <w:bottom w:val="single" w:color="auto" w:sz="4" w:space="0"/>
              <w:right w:val="single" w:color="auto" w:sz="4" w:space="0"/>
            </w:tcBorders>
            <w:noWrap/>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1265" w:type="dxa"/>
            <w:tcBorders>
              <w:top w:val="nil"/>
              <w:left w:val="nil"/>
              <w:bottom w:val="single" w:color="auto" w:sz="4" w:space="0"/>
              <w:right w:val="single" w:color="auto" w:sz="4" w:space="0"/>
            </w:tcBorders>
            <w:noWrap/>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1881" w:type="dxa"/>
            <w:tcBorders>
              <w:top w:val="nil"/>
              <w:left w:val="nil"/>
              <w:bottom w:val="single" w:color="auto" w:sz="4" w:space="0"/>
              <w:right w:val="single" w:color="auto" w:sz="4" w:space="0"/>
            </w:tcBorders>
            <w:noWrap/>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r>
      <w:tr>
        <w:tblPrEx>
          <w:tblCellMar>
            <w:top w:w="0" w:type="dxa"/>
            <w:left w:w="108" w:type="dxa"/>
            <w:bottom w:w="0" w:type="dxa"/>
            <w:right w:w="108" w:type="dxa"/>
          </w:tblCellMar>
        </w:tblPrEx>
        <w:trPr>
          <w:trHeight w:val="550"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left"/>
              <w:rPr>
                <w:rFonts w:ascii="宋体" w:cs="Times New Roman"/>
                <w:kern w:val="0"/>
                <w:sz w:val="24"/>
                <w:szCs w:val="24"/>
              </w:rPr>
            </w:pPr>
            <w:r>
              <w:rPr>
                <w:rFonts w:hint="eastAsia" w:ascii="宋体" w:hAnsi="宋体" w:cs="宋体"/>
                <w:color w:val="000000"/>
                <w:kern w:val="0"/>
                <w:sz w:val="20"/>
                <w:szCs w:val="20"/>
              </w:rPr>
              <w:t>其他对外管理服务事项</w:t>
            </w:r>
          </w:p>
        </w:tc>
        <w:tc>
          <w:tcPr>
            <w:tcW w:w="1881" w:type="dxa"/>
            <w:gridSpan w:val="2"/>
            <w:tcBorders>
              <w:top w:val="nil"/>
              <w:left w:val="nil"/>
              <w:bottom w:val="single" w:color="auto" w:sz="4" w:space="0"/>
              <w:right w:val="single" w:color="auto" w:sz="4" w:space="0"/>
            </w:tcBorders>
            <w:noWrap/>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1265" w:type="dxa"/>
            <w:tcBorders>
              <w:top w:val="nil"/>
              <w:left w:val="nil"/>
              <w:bottom w:val="single" w:color="auto" w:sz="4" w:space="0"/>
              <w:right w:val="single" w:color="auto" w:sz="4" w:space="0"/>
            </w:tcBorders>
            <w:noWrap/>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1881" w:type="dxa"/>
            <w:tcBorders>
              <w:top w:val="nil"/>
              <w:left w:val="nil"/>
              <w:bottom w:val="single" w:color="auto" w:sz="4" w:space="0"/>
              <w:right w:val="single" w:color="auto" w:sz="4" w:space="0"/>
            </w:tcBorders>
            <w:noWrap/>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r>
      <w:tr>
        <w:tblPrEx>
          <w:tblCellMar>
            <w:top w:w="0" w:type="dxa"/>
            <w:left w:w="108" w:type="dxa"/>
            <w:bottom w:w="0" w:type="dxa"/>
            <w:right w:w="108" w:type="dxa"/>
          </w:tblCellMar>
        </w:tblPrEx>
        <w:trPr>
          <w:trHeight w:val="406" w:hRule="atLeast"/>
          <w:jc w:val="center"/>
        </w:trPr>
        <w:tc>
          <w:tcPr>
            <w:tcW w:w="8140" w:type="dxa"/>
            <w:gridSpan w:val="5"/>
            <w:tcBorders>
              <w:top w:val="single" w:color="auto" w:sz="4" w:space="0"/>
              <w:left w:val="single" w:color="auto" w:sz="4" w:space="0"/>
              <w:bottom w:val="single" w:color="auto" w:sz="4" w:space="0"/>
              <w:right w:val="single" w:color="auto" w:sz="4" w:space="0"/>
            </w:tcBorders>
            <w:shd w:val="clear" w:color="auto" w:fill="C6D9F1"/>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第二十条第（六）项</w:t>
            </w:r>
          </w:p>
        </w:tc>
      </w:tr>
      <w:tr>
        <w:tblPrEx>
          <w:tblCellMar>
            <w:top w:w="0" w:type="dxa"/>
            <w:left w:w="108" w:type="dxa"/>
            <w:bottom w:w="0" w:type="dxa"/>
            <w:right w:w="108" w:type="dxa"/>
          </w:tblCellMar>
        </w:tblPrEx>
        <w:trPr>
          <w:trHeight w:val="634"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信息内容</w:t>
            </w:r>
          </w:p>
        </w:tc>
        <w:tc>
          <w:tcPr>
            <w:tcW w:w="1875" w:type="dxa"/>
            <w:tcBorders>
              <w:top w:val="single" w:color="auto" w:sz="4" w:space="0"/>
              <w:left w:val="nil"/>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上一年项目数量</w:t>
            </w:r>
          </w:p>
        </w:tc>
        <w:tc>
          <w:tcPr>
            <w:tcW w:w="1271" w:type="dxa"/>
            <w:gridSpan w:val="2"/>
            <w:tcBorders>
              <w:top w:val="single" w:color="auto" w:sz="4" w:space="0"/>
              <w:left w:val="nil"/>
              <w:bottom w:val="single" w:color="auto" w:sz="4" w:space="0"/>
              <w:right w:val="single" w:color="auto" w:sz="4" w:space="0"/>
            </w:tcBorders>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本年增</w:t>
            </w:r>
            <w:r>
              <w:rPr>
                <w:rFonts w:ascii="宋体" w:hAnsi="宋体" w:cs="宋体"/>
                <w:color w:val="000000"/>
                <w:kern w:val="0"/>
                <w:sz w:val="20"/>
                <w:szCs w:val="20"/>
              </w:rPr>
              <w:t>/</w:t>
            </w:r>
            <w:r>
              <w:rPr>
                <w:rFonts w:hint="eastAsia" w:ascii="宋体" w:hAnsi="宋体" w:cs="宋体"/>
                <w:color w:val="000000"/>
                <w:kern w:val="0"/>
                <w:sz w:val="20"/>
                <w:szCs w:val="20"/>
              </w:rPr>
              <w:t>减</w:t>
            </w:r>
          </w:p>
        </w:tc>
        <w:tc>
          <w:tcPr>
            <w:tcW w:w="1881" w:type="dxa"/>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处理决定数量</w:t>
            </w:r>
          </w:p>
        </w:tc>
      </w:tr>
      <w:tr>
        <w:tblPrEx>
          <w:tblCellMar>
            <w:top w:w="0" w:type="dxa"/>
            <w:left w:w="108" w:type="dxa"/>
            <w:bottom w:w="0" w:type="dxa"/>
            <w:right w:w="108" w:type="dxa"/>
          </w:tblCellMar>
        </w:tblPrEx>
        <w:trPr>
          <w:trHeight w:val="430"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left"/>
              <w:rPr>
                <w:rFonts w:ascii="宋体" w:cs="Times New Roman"/>
                <w:kern w:val="0"/>
                <w:sz w:val="24"/>
                <w:szCs w:val="24"/>
              </w:rPr>
            </w:pPr>
            <w:r>
              <w:rPr>
                <w:rFonts w:hint="eastAsia" w:ascii="宋体" w:hAnsi="宋体" w:cs="宋体"/>
                <w:color w:val="000000"/>
                <w:kern w:val="0"/>
                <w:sz w:val="20"/>
                <w:szCs w:val="20"/>
              </w:rPr>
              <w:t>行政处罚</w:t>
            </w:r>
          </w:p>
        </w:tc>
        <w:tc>
          <w:tcPr>
            <w:tcW w:w="1881" w:type="dxa"/>
            <w:gridSpan w:val="2"/>
            <w:tcBorders>
              <w:top w:val="single" w:color="auto" w:sz="4" w:space="0"/>
              <w:left w:val="nil"/>
              <w:bottom w:val="single" w:color="auto" w:sz="4" w:space="0"/>
              <w:right w:val="single" w:color="auto" w:sz="4" w:space="0"/>
            </w:tcBorders>
            <w:noWrap/>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1265" w:type="dxa"/>
            <w:tcBorders>
              <w:top w:val="single" w:color="auto" w:sz="4" w:space="0"/>
              <w:left w:val="nil"/>
              <w:bottom w:val="single" w:color="auto" w:sz="4" w:space="0"/>
              <w:right w:val="single" w:color="auto" w:sz="4" w:space="0"/>
            </w:tcBorders>
            <w:noWrap/>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1881" w:type="dxa"/>
            <w:tcBorders>
              <w:top w:val="nil"/>
              <w:left w:val="nil"/>
              <w:bottom w:val="single" w:color="auto" w:sz="4" w:space="0"/>
              <w:right w:val="single" w:color="auto" w:sz="4" w:space="0"/>
            </w:tcBorders>
            <w:noWrap/>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r>
      <w:tr>
        <w:tblPrEx>
          <w:tblCellMar>
            <w:top w:w="0" w:type="dxa"/>
            <w:left w:w="108" w:type="dxa"/>
            <w:bottom w:w="0" w:type="dxa"/>
            <w:right w:w="108" w:type="dxa"/>
          </w:tblCellMar>
        </w:tblPrEx>
        <w:trPr>
          <w:trHeight w:val="409"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left"/>
              <w:rPr>
                <w:rFonts w:ascii="宋体" w:cs="Times New Roman"/>
                <w:kern w:val="0"/>
                <w:sz w:val="24"/>
                <w:szCs w:val="24"/>
              </w:rPr>
            </w:pPr>
            <w:r>
              <w:rPr>
                <w:rFonts w:hint="eastAsia" w:ascii="宋体" w:hAnsi="宋体" w:cs="宋体"/>
                <w:color w:val="000000"/>
                <w:kern w:val="0"/>
                <w:sz w:val="20"/>
                <w:szCs w:val="20"/>
              </w:rPr>
              <w:t>行政强制</w:t>
            </w:r>
          </w:p>
        </w:tc>
        <w:tc>
          <w:tcPr>
            <w:tcW w:w="1881" w:type="dxa"/>
            <w:gridSpan w:val="2"/>
            <w:tcBorders>
              <w:top w:val="nil"/>
              <w:left w:val="nil"/>
              <w:bottom w:val="single" w:color="auto" w:sz="4" w:space="0"/>
              <w:right w:val="single" w:color="auto" w:sz="4" w:space="0"/>
            </w:tcBorders>
            <w:noWrap/>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1265" w:type="dxa"/>
            <w:tcBorders>
              <w:top w:val="nil"/>
              <w:left w:val="nil"/>
              <w:bottom w:val="single" w:color="auto" w:sz="4" w:space="0"/>
              <w:right w:val="single" w:color="auto" w:sz="4" w:space="0"/>
            </w:tcBorders>
            <w:noWrap/>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1881" w:type="dxa"/>
            <w:tcBorders>
              <w:top w:val="nil"/>
              <w:left w:val="nil"/>
              <w:bottom w:val="single" w:color="auto" w:sz="4" w:space="0"/>
              <w:right w:val="single" w:color="auto" w:sz="4" w:space="0"/>
            </w:tcBorders>
            <w:noWrap/>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r>
      <w:tr>
        <w:tblPrEx>
          <w:tblCellMar>
            <w:top w:w="0" w:type="dxa"/>
            <w:left w:w="108" w:type="dxa"/>
            <w:bottom w:w="0" w:type="dxa"/>
            <w:right w:w="108" w:type="dxa"/>
          </w:tblCellMar>
        </w:tblPrEx>
        <w:trPr>
          <w:trHeight w:val="474" w:hRule="atLeast"/>
          <w:jc w:val="center"/>
        </w:trPr>
        <w:tc>
          <w:tcPr>
            <w:tcW w:w="8140" w:type="dxa"/>
            <w:gridSpan w:val="5"/>
            <w:tcBorders>
              <w:top w:val="single" w:color="auto" w:sz="4" w:space="0"/>
              <w:left w:val="single" w:color="auto" w:sz="4" w:space="0"/>
              <w:bottom w:val="single" w:color="auto" w:sz="4" w:space="0"/>
              <w:right w:val="single" w:color="auto" w:sz="4" w:space="0"/>
            </w:tcBorders>
            <w:shd w:val="clear" w:color="auto" w:fill="C6D9F1"/>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第二十条第（八）项</w:t>
            </w:r>
          </w:p>
        </w:tc>
      </w:tr>
      <w:tr>
        <w:tblPrEx>
          <w:tblCellMar>
            <w:top w:w="0" w:type="dxa"/>
            <w:left w:w="108" w:type="dxa"/>
            <w:bottom w:w="0" w:type="dxa"/>
            <w:right w:w="108" w:type="dxa"/>
          </w:tblCellMar>
        </w:tblPrEx>
        <w:trPr>
          <w:trHeight w:val="270"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信息内容</w:t>
            </w:r>
          </w:p>
        </w:tc>
        <w:tc>
          <w:tcPr>
            <w:tcW w:w="1881" w:type="dxa"/>
            <w:gridSpan w:val="2"/>
            <w:tcBorders>
              <w:top w:val="nil"/>
              <w:left w:val="nil"/>
              <w:bottom w:val="single" w:color="auto" w:sz="4" w:space="0"/>
              <w:right w:val="single" w:color="auto" w:sz="4" w:space="0"/>
            </w:tcBorders>
            <w:noWrap/>
            <w:vAlign w:val="center"/>
          </w:tcPr>
          <w:p>
            <w:pPr>
              <w:widowControl/>
              <w:spacing w:before="100" w:beforeAutospacing="1" w:after="100" w:afterAutospacing="1"/>
              <w:jc w:val="left"/>
              <w:rPr>
                <w:rFonts w:ascii="宋体" w:cs="Times New Roman"/>
                <w:kern w:val="0"/>
                <w:sz w:val="24"/>
                <w:szCs w:val="24"/>
              </w:rPr>
            </w:pPr>
            <w:r>
              <w:rPr>
                <w:rFonts w:hint="eastAsia" w:ascii="宋体" w:hAnsi="宋体" w:cs="宋体"/>
                <w:color w:val="000000"/>
                <w:kern w:val="0"/>
                <w:sz w:val="20"/>
                <w:szCs w:val="20"/>
              </w:rPr>
              <w:t>上一年项目数量</w:t>
            </w:r>
          </w:p>
        </w:tc>
        <w:tc>
          <w:tcPr>
            <w:tcW w:w="3146" w:type="dxa"/>
            <w:gridSpan w:val="2"/>
            <w:tcBorders>
              <w:top w:val="single" w:color="auto" w:sz="4" w:space="0"/>
              <w:left w:val="nil"/>
              <w:bottom w:val="single" w:color="auto" w:sz="4" w:space="0"/>
              <w:right w:val="single" w:color="000000"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本年增</w:t>
            </w:r>
            <w:r>
              <w:rPr>
                <w:rFonts w:ascii="宋体" w:hAnsi="宋体" w:cs="宋体"/>
                <w:color w:val="000000"/>
                <w:kern w:val="0"/>
                <w:sz w:val="20"/>
                <w:szCs w:val="20"/>
              </w:rPr>
              <w:t>/</w:t>
            </w:r>
            <w:r>
              <w:rPr>
                <w:rFonts w:hint="eastAsia" w:ascii="宋体" w:hAnsi="宋体" w:cs="宋体"/>
                <w:color w:val="000000"/>
                <w:kern w:val="0"/>
                <w:sz w:val="20"/>
                <w:szCs w:val="20"/>
              </w:rPr>
              <w:t>减</w:t>
            </w:r>
          </w:p>
        </w:tc>
      </w:tr>
      <w:tr>
        <w:tblPrEx>
          <w:tblCellMar>
            <w:top w:w="0" w:type="dxa"/>
            <w:left w:w="108" w:type="dxa"/>
            <w:bottom w:w="0" w:type="dxa"/>
            <w:right w:w="108" w:type="dxa"/>
          </w:tblCellMar>
        </w:tblPrEx>
        <w:trPr>
          <w:trHeight w:val="551"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left"/>
              <w:rPr>
                <w:rFonts w:ascii="宋体" w:cs="Times New Roman"/>
                <w:kern w:val="0"/>
                <w:sz w:val="24"/>
                <w:szCs w:val="24"/>
              </w:rPr>
            </w:pPr>
            <w:r>
              <w:rPr>
                <w:rFonts w:hint="eastAsia" w:ascii="宋体" w:hAnsi="宋体" w:cs="宋体"/>
                <w:color w:val="000000"/>
                <w:kern w:val="0"/>
                <w:sz w:val="20"/>
                <w:szCs w:val="20"/>
              </w:rPr>
              <w:t>行政事业性收费</w:t>
            </w:r>
          </w:p>
        </w:tc>
        <w:tc>
          <w:tcPr>
            <w:tcW w:w="1881" w:type="dxa"/>
            <w:gridSpan w:val="2"/>
            <w:tcBorders>
              <w:top w:val="nil"/>
              <w:left w:val="nil"/>
              <w:bottom w:val="single" w:color="auto" w:sz="4" w:space="0"/>
              <w:right w:val="single" w:color="auto" w:sz="4" w:space="0"/>
            </w:tcBorders>
            <w:noWrap/>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3146" w:type="dxa"/>
            <w:gridSpan w:val="2"/>
            <w:tcBorders>
              <w:top w:val="single" w:color="auto" w:sz="4" w:space="0"/>
              <w:left w:val="nil"/>
              <w:bottom w:val="single" w:color="auto" w:sz="4" w:space="0"/>
              <w:right w:val="single" w:color="000000"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cs="Times New Roman"/>
                <w:color w:val="000000"/>
                <w:kern w:val="0"/>
                <w:sz w:val="20"/>
                <w:szCs w:val="20"/>
                <w:lang w:val="en-US" w:eastAsia="zh-CN"/>
              </w:rPr>
              <w:t>0</w:t>
            </w:r>
            <w:r>
              <w:rPr>
                <w:rFonts w:ascii="宋体" w:cs="Times New Roman"/>
                <w:color w:val="000000"/>
                <w:kern w:val="0"/>
                <w:sz w:val="20"/>
                <w:szCs w:val="20"/>
              </w:rPr>
              <w:t> </w:t>
            </w:r>
          </w:p>
        </w:tc>
      </w:tr>
      <w:tr>
        <w:tblPrEx>
          <w:tblCellMar>
            <w:top w:w="0" w:type="dxa"/>
            <w:left w:w="108" w:type="dxa"/>
            <w:bottom w:w="0" w:type="dxa"/>
            <w:right w:w="108" w:type="dxa"/>
          </w:tblCellMar>
        </w:tblPrEx>
        <w:trPr>
          <w:trHeight w:val="476" w:hRule="atLeast"/>
          <w:jc w:val="center"/>
        </w:trPr>
        <w:tc>
          <w:tcPr>
            <w:tcW w:w="8140" w:type="dxa"/>
            <w:gridSpan w:val="5"/>
            <w:tcBorders>
              <w:top w:val="single" w:color="auto" w:sz="4" w:space="0"/>
              <w:left w:val="single" w:color="auto" w:sz="4" w:space="0"/>
              <w:bottom w:val="single" w:color="auto" w:sz="4" w:space="0"/>
              <w:right w:val="single" w:color="auto" w:sz="4" w:space="0"/>
            </w:tcBorders>
            <w:shd w:val="clear" w:color="auto" w:fill="C6D9F1"/>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第二十条第（九）项</w:t>
            </w:r>
          </w:p>
        </w:tc>
      </w:tr>
      <w:tr>
        <w:tblPrEx>
          <w:tblCellMar>
            <w:top w:w="0" w:type="dxa"/>
            <w:left w:w="108" w:type="dxa"/>
            <w:bottom w:w="0" w:type="dxa"/>
            <w:right w:w="108" w:type="dxa"/>
          </w:tblCellMar>
        </w:tblPrEx>
        <w:trPr>
          <w:trHeight w:val="585"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信息内容</w:t>
            </w:r>
          </w:p>
        </w:tc>
        <w:tc>
          <w:tcPr>
            <w:tcW w:w="1881" w:type="dxa"/>
            <w:gridSpan w:val="2"/>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采购项目数量</w:t>
            </w:r>
          </w:p>
        </w:tc>
        <w:tc>
          <w:tcPr>
            <w:tcW w:w="3146" w:type="dxa"/>
            <w:gridSpan w:val="2"/>
            <w:tcBorders>
              <w:top w:val="single" w:color="auto" w:sz="4" w:space="0"/>
              <w:left w:val="nil"/>
              <w:bottom w:val="single" w:color="auto" w:sz="4" w:space="0"/>
              <w:right w:val="single" w:color="000000"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采购总金额</w:t>
            </w:r>
          </w:p>
        </w:tc>
      </w:tr>
      <w:tr>
        <w:tblPrEx>
          <w:tblCellMar>
            <w:top w:w="0" w:type="dxa"/>
            <w:left w:w="108" w:type="dxa"/>
            <w:bottom w:w="0" w:type="dxa"/>
            <w:right w:w="108" w:type="dxa"/>
          </w:tblCellMar>
        </w:tblPrEx>
        <w:trPr>
          <w:trHeight w:val="539"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left"/>
              <w:rPr>
                <w:rFonts w:ascii="宋体" w:cs="Times New Roman"/>
                <w:kern w:val="0"/>
                <w:sz w:val="24"/>
                <w:szCs w:val="24"/>
              </w:rPr>
            </w:pPr>
            <w:r>
              <w:rPr>
                <w:rFonts w:hint="eastAsia" w:ascii="宋体" w:hAnsi="宋体" w:cs="宋体"/>
                <w:color w:val="000000"/>
                <w:kern w:val="0"/>
                <w:sz w:val="20"/>
                <w:szCs w:val="20"/>
              </w:rPr>
              <w:t>政府集中采购</w:t>
            </w:r>
          </w:p>
        </w:tc>
        <w:tc>
          <w:tcPr>
            <w:tcW w:w="1881" w:type="dxa"/>
            <w:gridSpan w:val="2"/>
            <w:tcBorders>
              <w:top w:val="nil"/>
              <w:left w:val="nil"/>
              <w:bottom w:val="single" w:color="auto" w:sz="4" w:space="0"/>
              <w:right w:val="single" w:color="auto" w:sz="4" w:space="0"/>
            </w:tcBorders>
            <w:noWrap/>
            <w:vAlign w:val="center"/>
          </w:tcPr>
          <w:p>
            <w:pPr>
              <w:widowControl/>
              <w:spacing w:before="100" w:beforeAutospacing="1" w:after="100" w:afterAutospacing="1"/>
              <w:jc w:val="left"/>
              <w:rPr>
                <w:rFonts w:hint="eastAsia" w:ascii="宋体" w:eastAsia="宋体" w:cs="Times New Roman"/>
                <w:kern w:val="0"/>
                <w:sz w:val="24"/>
                <w:szCs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3146" w:type="dxa"/>
            <w:gridSpan w:val="2"/>
            <w:tcBorders>
              <w:top w:val="single" w:color="auto" w:sz="4" w:space="0"/>
              <w:left w:val="nil"/>
              <w:bottom w:val="single" w:color="auto" w:sz="4" w:space="0"/>
              <w:right w:val="single" w:color="000000" w:sz="4" w:space="0"/>
            </w:tcBorders>
            <w:noWrap/>
            <w:vAlign w:val="center"/>
          </w:tcPr>
          <w:p>
            <w:pPr>
              <w:widowControl/>
              <w:jc w:val="left"/>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r>
    </w:tbl>
    <w:p>
      <w:pPr>
        <w:widowControl/>
        <w:ind w:firstLine="480"/>
        <w:rPr>
          <w:rFonts w:ascii="宋体" w:cs="Times New Roman"/>
          <w:kern w:val="0"/>
          <w:sz w:val="24"/>
          <w:szCs w:val="24"/>
        </w:rPr>
      </w:pPr>
    </w:p>
    <w:p>
      <w:pPr>
        <w:widowControl/>
        <w:spacing w:after="240"/>
        <w:ind w:firstLine="480"/>
        <w:rPr>
          <w:rFonts w:hint="eastAsia" w:ascii="宋体" w:hAnsi="宋体" w:cs="宋体"/>
          <w:kern w:val="0"/>
          <w:sz w:val="28"/>
          <w:szCs w:val="28"/>
        </w:rPr>
      </w:pPr>
    </w:p>
    <w:p>
      <w:pPr>
        <w:widowControl/>
        <w:spacing w:after="240"/>
        <w:ind w:firstLine="480"/>
        <w:rPr>
          <w:rFonts w:ascii="宋体" w:cs="Times New Roman"/>
          <w:kern w:val="0"/>
          <w:sz w:val="24"/>
          <w:szCs w:val="24"/>
        </w:rPr>
      </w:pPr>
      <w:bookmarkStart w:id="0" w:name="_GoBack"/>
      <w:bookmarkEnd w:id="0"/>
      <w:r>
        <w:rPr>
          <w:rFonts w:hint="eastAsia" w:ascii="宋体" w:hAnsi="宋体" w:cs="宋体"/>
          <w:kern w:val="0"/>
          <w:sz w:val="28"/>
          <w:szCs w:val="28"/>
        </w:rPr>
        <w:t>三、收到和处理政府信息公开申请情况</w:t>
      </w:r>
    </w:p>
    <w:tbl>
      <w:tblPr>
        <w:tblStyle w:val="9"/>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
        <w:gridCol w:w="855"/>
        <w:gridCol w:w="2130"/>
        <w:gridCol w:w="825"/>
        <w:gridCol w:w="765"/>
        <w:gridCol w:w="765"/>
        <w:gridCol w:w="825"/>
        <w:gridCol w:w="990"/>
        <w:gridCol w:w="720"/>
        <w:gridCol w:w="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gridSpan w:val="3"/>
            <w:vMerge w:val="restart"/>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（本列数据的勾稽关系为：第一项加第二项之和，等于第三项加第四项之和）</w:t>
            </w:r>
          </w:p>
        </w:tc>
        <w:tc>
          <w:tcPr>
            <w:tcW w:w="5592" w:type="dxa"/>
            <w:gridSpan w:val="7"/>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94" w:type="dxa"/>
            <w:gridSpan w:val="3"/>
            <w:vMerge w:val="continue"/>
            <w:vAlign w:val="center"/>
          </w:tcPr>
          <w:p>
            <w:pPr>
              <w:widowControl/>
              <w:jc w:val="left"/>
              <w:rPr>
                <w:rFonts w:ascii="宋体" w:cs="Times New Roman"/>
                <w:kern w:val="0"/>
                <w:sz w:val="24"/>
                <w:szCs w:val="24"/>
              </w:rPr>
            </w:pPr>
          </w:p>
        </w:tc>
        <w:tc>
          <w:tcPr>
            <w:tcW w:w="825" w:type="dxa"/>
            <w:vMerge w:val="restart"/>
            <w:tcBorders>
              <w:top w:val="nil"/>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自然人</w:t>
            </w:r>
          </w:p>
        </w:tc>
        <w:tc>
          <w:tcPr>
            <w:tcW w:w="4065" w:type="dxa"/>
            <w:gridSpan w:val="5"/>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法人或其他组织</w:t>
            </w:r>
          </w:p>
        </w:tc>
        <w:tc>
          <w:tcPr>
            <w:tcW w:w="702" w:type="dxa"/>
            <w:vMerge w:val="restart"/>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94" w:type="dxa"/>
            <w:gridSpan w:val="3"/>
            <w:vMerge w:val="continue"/>
            <w:vAlign w:val="center"/>
          </w:tcPr>
          <w:p>
            <w:pPr>
              <w:widowControl/>
              <w:jc w:val="left"/>
              <w:rPr>
                <w:rFonts w:ascii="宋体" w:cs="Times New Roman"/>
                <w:kern w:val="0"/>
                <w:sz w:val="24"/>
                <w:szCs w:val="24"/>
              </w:rPr>
            </w:pPr>
          </w:p>
        </w:tc>
        <w:tc>
          <w:tcPr>
            <w:tcW w:w="5592" w:type="dxa"/>
            <w:vMerge w:val="continue"/>
            <w:tcBorders>
              <w:top w:val="nil"/>
              <w:left w:val="nil"/>
            </w:tcBorders>
            <w:vAlign w:val="center"/>
          </w:tcPr>
          <w:p>
            <w:pPr>
              <w:widowControl/>
              <w:jc w:val="left"/>
              <w:rPr>
                <w:rFonts w:ascii="宋体" w:cs="Times New Roman"/>
                <w:kern w:val="0"/>
                <w:sz w:val="24"/>
                <w:szCs w:val="24"/>
              </w:rPr>
            </w:pP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商业企业</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科研机构</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社会公益组织</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法律服务机构</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其他</w:t>
            </w:r>
          </w:p>
        </w:tc>
        <w:tc>
          <w:tcPr>
            <w:tcW w:w="702" w:type="dxa"/>
            <w:vMerge w:val="continue"/>
            <w:tcBorders>
              <w:left w:val="nil"/>
            </w:tcBorders>
            <w:vAlign w:val="center"/>
          </w:tcPr>
          <w:p>
            <w:pPr>
              <w:widowControl/>
              <w:jc w:val="left"/>
              <w:rPr>
                <w:rFonts w:ascii="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gridSpan w:val="3"/>
            <w:vAlign w:val="center"/>
          </w:tcPr>
          <w:p>
            <w:pPr>
              <w:widowControl/>
              <w:spacing w:before="100" w:beforeAutospacing="1" w:after="100" w:afterAutospacing="1"/>
              <w:jc w:val="left"/>
              <w:rPr>
                <w:rFonts w:ascii="宋体" w:cs="Times New Roman"/>
                <w:kern w:val="0"/>
                <w:sz w:val="24"/>
                <w:szCs w:val="24"/>
              </w:rPr>
            </w:pPr>
            <w:r>
              <w:rPr>
                <w:rFonts w:hint="eastAsia" w:cs="宋体"/>
                <w:sz w:val="20"/>
                <w:szCs w:val="20"/>
              </w:rPr>
              <w:t>一、本年新收政府信息公开申请数量</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cs="Times New Roman"/>
                <w:sz w:val="20"/>
                <w:szCs w:val="20"/>
                <w:lang w:val="en-US" w:eastAsia="zh-CN"/>
              </w:rPr>
              <w:t>0</w:t>
            </w:r>
            <w:r>
              <w:rPr>
                <w:rFonts w:cs="Times New Roman"/>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gridSpan w:val="3"/>
            <w:vAlign w:val="center"/>
          </w:tcPr>
          <w:p>
            <w:pPr>
              <w:widowControl/>
              <w:spacing w:before="100" w:beforeAutospacing="1" w:after="100" w:afterAutospacing="1"/>
              <w:jc w:val="left"/>
              <w:rPr>
                <w:rFonts w:ascii="宋体" w:cs="Times New Roman"/>
                <w:kern w:val="0"/>
                <w:sz w:val="24"/>
                <w:szCs w:val="24"/>
              </w:rPr>
            </w:pPr>
            <w:r>
              <w:rPr>
                <w:rFonts w:hint="eastAsia" w:cs="宋体"/>
                <w:sz w:val="20"/>
                <w:szCs w:val="20"/>
              </w:rPr>
              <w:t>二、上年结转政府信息公开申请数量</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Times New Roman"/>
                <w:sz w:val="20"/>
                <w:szCs w:val="20"/>
                <w:lang w:val="en-US" w:eastAsia="zh-CN"/>
              </w:rPr>
              <w:t>0</w:t>
            </w:r>
            <w:r>
              <w:rPr>
                <w:rFonts w:cs="Times New Roman"/>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4" w:type="dxa"/>
            <w:vMerge w:val="restart"/>
            <w:tcBorders>
              <w:top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三、本年度办理结果</w:t>
            </w:r>
          </w:p>
        </w:tc>
        <w:tc>
          <w:tcPr>
            <w:tcW w:w="2985" w:type="dxa"/>
            <w:gridSpan w:val="2"/>
            <w:tcBorders>
              <w:left w:val="nil"/>
            </w:tcBorders>
            <w:vAlign w:val="center"/>
          </w:tcPr>
          <w:p>
            <w:pPr>
              <w:widowControl/>
              <w:spacing w:before="100" w:beforeAutospacing="1" w:after="100" w:afterAutospacing="1"/>
              <w:jc w:val="left"/>
              <w:rPr>
                <w:rFonts w:ascii="宋体" w:cs="Times New Roman"/>
                <w:kern w:val="0"/>
                <w:sz w:val="24"/>
                <w:szCs w:val="24"/>
              </w:rPr>
            </w:pPr>
            <w:r>
              <w:rPr>
                <w:rFonts w:hint="eastAsia" w:ascii="楷体" w:hAnsi="楷体" w:eastAsia="楷体" w:cs="楷体"/>
                <w:sz w:val="20"/>
                <w:szCs w:val="20"/>
              </w:rPr>
              <w:t>（一）予以公开</w:t>
            </w:r>
          </w:p>
        </w:tc>
        <w:tc>
          <w:tcPr>
            <w:tcW w:w="825"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1</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Times New Roman"/>
                <w:sz w:val="20"/>
                <w:szCs w:val="20"/>
                <w:lang w:val="en-US" w:eastAsia="zh-CN"/>
              </w:rPr>
              <w:t>1</w:t>
            </w:r>
            <w:r>
              <w:rPr>
                <w:rFonts w:cs="Times New Roman"/>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gridSpan w:val="2"/>
            <w:tcBorders>
              <w:left w:val="nil"/>
            </w:tcBorders>
            <w:vAlign w:val="center"/>
          </w:tcPr>
          <w:p>
            <w:pPr>
              <w:widowControl/>
              <w:spacing w:before="100" w:beforeAutospacing="1" w:after="100" w:afterAutospacing="1"/>
              <w:jc w:val="left"/>
              <w:rPr>
                <w:rFonts w:ascii="宋体" w:cs="Times New Roman"/>
                <w:kern w:val="0"/>
                <w:sz w:val="24"/>
                <w:szCs w:val="24"/>
              </w:rPr>
            </w:pPr>
            <w:r>
              <w:rPr>
                <w:rFonts w:hint="eastAsia" w:ascii="楷体" w:hAnsi="楷体" w:eastAsia="楷体" w:cs="楷体"/>
                <w:sz w:val="20"/>
                <w:szCs w:val="20"/>
              </w:rPr>
              <w:t>（二）部分公开（区分处理的，只计这一情形，不计其他情形）</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Times New Roman"/>
                <w:sz w:val="20"/>
                <w:szCs w:val="20"/>
                <w:lang w:val="en-US" w:eastAsia="zh-CN"/>
              </w:rPr>
              <w:t>0</w:t>
            </w:r>
            <w:r>
              <w:rPr>
                <w:rFonts w:cs="Times New Roman"/>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855" w:type="dxa"/>
            <w:vMerge w:val="restart"/>
            <w:tcBorders>
              <w:top w:val="nil"/>
              <w:left w:val="nil"/>
            </w:tcBorders>
            <w:vAlign w:val="center"/>
          </w:tcPr>
          <w:p>
            <w:pPr>
              <w:widowControl/>
              <w:spacing w:before="100" w:beforeAutospacing="1" w:after="100" w:afterAutospacing="1"/>
              <w:jc w:val="left"/>
              <w:rPr>
                <w:rFonts w:ascii="宋体" w:cs="Times New Roman"/>
                <w:kern w:val="0"/>
                <w:sz w:val="24"/>
                <w:szCs w:val="24"/>
              </w:rPr>
            </w:pPr>
            <w:r>
              <w:rPr>
                <w:rFonts w:hint="eastAsia" w:ascii="楷体" w:hAnsi="楷体" w:eastAsia="楷体" w:cs="楷体"/>
                <w:sz w:val="20"/>
                <w:szCs w:val="20"/>
              </w:rPr>
              <w:t>（三）不予公开</w:t>
            </w: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1.</w:t>
            </w:r>
            <w:r>
              <w:rPr>
                <w:rFonts w:hint="eastAsia" w:ascii="楷体" w:hAnsi="楷体" w:eastAsia="楷体" w:cs="楷体"/>
                <w:sz w:val="20"/>
                <w:szCs w:val="20"/>
              </w:rPr>
              <w:t>属于国家秘密</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2.</w:t>
            </w:r>
            <w:r>
              <w:rPr>
                <w:rFonts w:hint="eastAsia" w:ascii="楷体" w:hAnsi="楷体" w:eastAsia="楷体" w:cs="楷体"/>
                <w:sz w:val="20"/>
                <w:szCs w:val="20"/>
              </w:rPr>
              <w:t>其他法律行政法规禁止公开</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3.</w:t>
            </w:r>
            <w:r>
              <w:rPr>
                <w:rFonts w:hint="eastAsia" w:ascii="楷体" w:hAnsi="楷体" w:eastAsia="楷体" w:cs="楷体"/>
                <w:sz w:val="20"/>
                <w:szCs w:val="20"/>
              </w:rPr>
              <w:t>危及“三安全一稳定”</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4.</w:t>
            </w:r>
            <w:r>
              <w:rPr>
                <w:rFonts w:hint="eastAsia" w:ascii="楷体" w:hAnsi="楷体" w:eastAsia="楷体" w:cs="楷体"/>
                <w:sz w:val="20"/>
                <w:szCs w:val="20"/>
              </w:rPr>
              <w:t>保护第三方合法权益</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5.</w:t>
            </w:r>
            <w:r>
              <w:rPr>
                <w:rFonts w:hint="eastAsia" w:ascii="楷体" w:hAnsi="楷体" w:eastAsia="楷体" w:cs="楷体"/>
                <w:sz w:val="20"/>
                <w:szCs w:val="20"/>
              </w:rPr>
              <w:t>属于三类内部事务信息</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6.</w:t>
            </w:r>
            <w:r>
              <w:rPr>
                <w:rFonts w:hint="eastAsia" w:ascii="楷体" w:hAnsi="楷体" w:eastAsia="楷体" w:cs="楷体"/>
                <w:sz w:val="20"/>
                <w:szCs w:val="20"/>
              </w:rPr>
              <w:t>属于四类过程性信息</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7.</w:t>
            </w:r>
            <w:r>
              <w:rPr>
                <w:rFonts w:hint="eastAsia" w:ascii="楷体" w:hAnsi="楷体" w:eastAsia="楷体" w:cs="楷体"/>
                <w:sz w:val="20"/>
                <w:szCs w:val="20"/>
              </w:rPr>
              <w:t>属于行政执法案卷</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8.</w:t>
            </w:r>
            <w:r>
              <w:rPr>
                <w:rFonts w:hint="eastAsia" w:ascii="楷体" w:hAnsi="楷体" w:eastAsia="楷体" w:cs="楷体"/>
                <w:sz w:val="20"/>
                <w:szCs w:val="20"/>
              </w:rPr>
              <w:t>属于行政查询事项</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855" w:type="dxa"/>
            <w:vMerge w:val="restart"/>
            <w:tcBorders>
              <w:top w:val="nil"/>
              <w:left w:val="nil"/>
            </w:tcBorders>
            <w:vAlign w:val="center"/>
          </w:tcPr>
          <w:p>
            <w:pPr>
              <w:widowControl/>
              <w:spacing w:before="100" w:beforeAutospacing="1" w:after="100" w:afterAutospacing="1"/>
              <w:jc w:val="left"/>
              <w:rPr>
                <w:rFonts w:ascii="宋体" w:cs="Times New Roman"/>
                <w:kern w:val="0"/>
                <w:sz w:val="24"/>
                <w:szCs w:val="24"/>
              </w:rPr>
            </w:pPr>
            <w:r>
              <w:rPr>
                <w:rFonts w:hint="eastAsia" w:ascii="楷体" w:hAnsi="楷体" w:eastAsia="楷体" w:cs="楷体"/>
                <w:sz w:val="20"/>
                <w:szCs w:val="20"/>
              </w:rPr>
              <w:t>（四）无法提供</w:t>
            </w: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1.</w:t>
            </w:r>
            <w:r>
              <w:rPr>
                <w:rFonts w:hint="eastAsia" w:ascii="楷体" w:hAnsi="楷体" w:eastAsia="楷体" w:cs="楷体"/>
                <w:sz w:val="20"/>
                <w:szCs w:val="20"/>
              </w:rPr>
              <w:t>本机关不掌握相关政府信息</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Times New Roman"/>
                <w:sz w:val="20"/>
                <w:szCs w:val="20"/>
                <w:lang w:val="en-US" w:eastAsia="zh-CN"/>
              </w:rPr>
              <w:t>0</w:t>
            </w:r>
            <w:r>
              <w:rPr>
                <w:rFonts w:cs="Times New Roman"/>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2.</w:t>
            </w:r>
            <w:r>
              <w:rPr>
                <w:rFonts w:hint="eastAsia" w:ascii="楷体" w:hAnsi="楷体" w:eastAsia="楷体" w:cs="楷体"/>
                <w:sz w:val="20"/>
                <w:szCs w:val="20"/>
              </w:rPr>
              <w:t>没有现成信息需要另行制作</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3.</w:t>
            </w:r>
            <w:r>
              <w:rPr>
                <w:rFonts w:hint="eastAsia" w:ascii="楷体" w:hAnsi="楷体" w:eastAsia="楷体" w:cs="楷体"/>
                <w:sz w:val="20"/>
                <w:szCs w:val="20"/>
              </w:rPr>
              <w:t>补正后申请内容仍不明确</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855" w:type="dxa"/>
            <w:vMerge w:val="restart"/>
            <w:tcBorders>
              <w:top w:val="nil"/>
              <w:left w:val="nil"/>
            </w:tcBorders>
            <w:vAlign w:val="center"/>
          </w:tcPr>
          <w:p>
            <w:pPr>
              <w:widowControl/>
              <w:spacing w:before="100" w:beforeAutospacing="1" w:after="100" w:afterAutospacing="1"/>
              <w:jc w:val="left"/>
              <w:rPr>
                <w:rFonts w:ascii="宋体" w:cs="Times New Roman"/>
                <w:kern w:val="0"/>
                <w:sz w:val="24"/>
                <w:szCs w:val="24"/>
              </w:rPr>
            </w:pPr>
            <w:r>
              <w:rPr>
                <w:rFonts w:hint="eastAsia" w:ascii="楷体" w:hAnsi="楷体" w:eastAsia="楷体" w:cs="楷体"/>
                <w:sz w:val="20"/>
                <w:szCs w:val="20"/>
              </w:rPr>
              <w:t>（五）不予处理</w:t>
            </w: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1.</w:t>
            </w:r>
            <w:r>
              <w:rPr>
                <w:rFonts w:hint="eastAsia" w:ascii="楷体" w:hAnsi="楷体" w:eastAsia="楷体" w:cs="楷体"/>
                <w:sz w:val="20"/>
                <w:szCs w:val="20"/>
              </w:rPr>
              <w:t>信访举报投诉类申请</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2.</w:t>
            </w:r>
            <w:r>
              <w:rPr>
                <w:rFonts w:hint="eastAsia" w:ascii="楷体" w:hAnsi="楷体" w:eastAsia="楷体" w:cs="楷体"/>
                <w:sz w:val="20"/>
                <w:szCs w:val="20"/>
              </w:rPr>
              <w:t>重复申请</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Times New Roman"/>
                <w:sz w:val="20"/>
                <w:szCs w:val="20"/>
                <w:lang w:val="en-US" w:eastAsia="zh-CN"/>
              </w:rPr>
              <w:t>0</w:t>
            </w:r>
            <w:r>
              <w:rPr>
                <w:rFonts w:cs="Times New Roman"/>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hint="eastAsia" w:ascii="宋体" w:eastAsia="楷体" w:cs="Times New Roman"/>
                <w:kern w:val="0"/>
                <w:sz w:val="24"/>
                <w:szCs w:val="24"/>
                <w:lang w:val="en-US" w:eastAsia="zh-CN"/>
              </w:rPr>
            </w:pPr>
            <w:r>
              <w:rPr>
                <w:rFonts w:ascii="楷体" w:hAnsi="楷体" w:eastAsia="楷体" w:cs="楷体"/>
                <w:sz w:val="20"/>
                <w:szCs w:val="20"/>
              </w:rPr>
              <w:t>3.</w:t>
            </w:r>
            <w:r>
              <w:rPr>
                <w:rFonts w:hint="eastAsia" w:ascii="楷体" w:hAnsi="楷体" w:eastAsia="楷体" w:cs="楷体"/>
                <w:sz w:val="20"/>
                <w:szCs w:val="20"/>
              </w:rPr>
              <w:t>要求提供公开出版物</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4.</w:t>
            </w:r>
            <w:r>
              <w:rPr>
                <w:rFonts w:hint="eastAsia" w:ascii="楷体" w:hAnsi="楷体" w:eastAsia="楷体" w:cs="楷体"/>
                <w:sz w:val="20"/>
                <w:szCs w:val="20"/>
              </w:rPr>
              <w:t>无正当理由大量反复申请</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5.</w:t>
            </w:r>
            <w:r>
              <w:rPr>
                <w:rFonts w:hint="eastAsia" w:ascii="楷体" w:hAnsi="楷体" w:eastAsia="楷体" w:cs="楷体"/>
                <w:sz w:val="20"/>
                <w:szCs w:val="20"/>
              </w:rPr>
              <w:t>要求行政机关确认或重新出具已获取信息</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gridSpan w:val="2"/>
            <w:tcBorders>
              <w:left w:val="nil"/>
            </w:tcBorders>
            <w:vAlign w:val="center"/>
          </w:tcPr>
          <w:p>
            <w:pPr>
              <w:widowControl/>
              <w:spacing w:before="100" w:beforeAutospacing="1" w:after="100" w:afterAutospacing="1"/>
              <w:jc w:val="left"/>
              <w:rPr>
                <w:rFonts w:ascii="宋体" w:cs="Times New Roman"/>
                <w:kern w:val="0"/>
                <w:sz w:val="24"/>
                <w:szCs w:val="24"/>
              </w:rPr>
            </w:pPr>
            <w:r>
              <w:rPr>
                <w:rFonts w:hint="eastAsia" w:ascii="楷体" w:hAnsi="楷体" w:eastAsia="楷体" w:cs="楷体"/>
                <w:sz w:val="20"/>
                <w:szCs w:val="20"/>
              </w:rPr>
              <w:t>（六）其他处理</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Times New Roman"/>
                <w:sz w:val="20"/>
                <w:szCs w:val="20"/>
                <w:lang w:val="en-US" w:eastAsia="zh-CN"/>
              </w:rPr>
              <w:t>0</w:t>
            </w:r>
            <w:r>
              <w:rPr>
                <w:rFonts w:cs="Times New Roman"/>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gridSpan w:val="2"/>
            <w:tcBorders>
              <w:left w:val="nil"/>
            </w:tcBorders>
            <w:vAlign w:val="center"/>
          </w:tcPr>
          <w:p>
            <w:pPr>
              <w:widowControl/>
              <w:spacing w:before="100" w:beforeAutospacing="1" w:after="100" w:afterAutospacing="1"/>
              <w:jc w:val="left"/>
              <w:rPr>
                <w:rFonts w:ascii="宋体" w:cs="Times New Roman"/>
                <w:kern w:val="0"/>
                <w:sz w:val="24"/>
                <w:szCs w:val="24"/>
              </w:rPr>
            </w:pPr>
            <w:r>
              <w:rPr>
                <w:rFonts w:hint="eastAsia" w:ascii="楷体" w:hAnsi="楷体" w:eastAsia="楷体" w:cs="楷体"/>
                <w:sz w:val="20"/>
                <w:szCs w:val="20"/>
              </w:rPr>
              <w:t>（七）总计</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gridSpan w:val="3"/>
            <w:vAlign w:val="center"/>
          </w:tcPr>
          <w:p>
            <w:pPr>
              <w:widowControl/>
              <w:spacing w:before="100" w:beforeAutospacing="1" w:after="100" w:afterAutospacing="1"/>
              <w:jc w:val="left"/>
              <w:rPr>
                <w:rFonts w:ascii="宋体" w:cs="Times New Roman"/>
                <w:kern w:val="0"/>
                <w:sz w:val="24"/>
                <w:szCs w:val="24"/>
              </w:rPr>
            </w:pPr>
            <w:r>
              <w:rPr>
                <w:rFonts w:hint="eastAsia" w:cs="宋体"/>
                <w:sz w:val="20"/>
                <w:szCs w:val="20"/>
              </w:rPr>
              <w:t>四、结转下年度继续办理</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cs="Times New Roman"/>
                <w:sz w:val="20"/>
                <w:szCs w:val="20"/>
              </w:rPr>
              <w:t> </w:t>
            </w:r>
          </w:p>
        </w:tc>
        <w:tc>
          <w:tcPr>
            <w:tcW w:w="702" w:type="dxa"/>
            <w:tcBorders>
              <w:left w:val="nil"/>
            </w:tcBorders>
            <w:vAlign w:val="center"/>
          </w:tcPr>
          <w:p>
            <w:pPr>
              <w:widowControl/>
              <w:ind w:firstLine="200" w:firstLineChars="100"/>
              <w:jc w:val="left"/>
              <w:rPr>
                <w:rFonts w:hint="eastAsia" w:ascii="宋体" w:eastAsia="宋体" w:cs="Times New Roman"/>
                <w:kern w:val="0"/>
                <w:sz w:val="24"/>
                <w:szCs w:val="24"/>
                <w:lang w:val="en-US" w:eastAsia="zh-CN"/>
              </w:rPr>
            </w:pPr>
            <w:r>
              <w:rPr>
                <w:rFonts w:hint="eastAsia" w:cs="Times New Roman"/>
                <w:sz w:val="20"/>
                <w:szCs w:val="20"/>
                <w:lang w:val="en-US" w:eastAsia="zh-CN"/>
              </w:rPr>
              <w:t>0</w:t>
            </w:r>
          </w:p>
        </w:tc>
      </w:tr>
    </w:tbl>
    <w:p>
      <w:pPr>
        <w:widowControl/>
        <w:ind w:firstLine="480"/>
        <w:rPr>
          <w:rFonts w:ascii="宋体" w:cs="Times New Roman"/>
          <w:kern w:val="0"/>
          <w:sz w:val="24"/>
          <w:szCs w:val="24"/>
        </w:rPr>
      </w:pPr>
    </w:p>
    <w:p>
      <w:pPr>
        <w:widowControl/>
        <w:ind w:firstLine="480"/>
        <w:rPr>
          <w:rFonts w:ascii="宋体" w:cs="Times New Roman"/>
          <w:kern w:val="0"/>
          <w:sz w:val="28"/>
          <w:szCs w:val="28"/>
        </w:rPr>
      </w:pPr>
      <w:r>
        <w:rPr>
          <w:rFonts w:hint="eastAsia" w:ascii="宋体" w:hAnsi="宋体" w:cs="宋体"/>
          <w:kern w:val="0"/>
          <w:sz w:val="28"/>
          <w:szCs w:val="28"/>
        </w:rPr>
        <w:t>四、政府信息公开行政复议、行政诉讼情况</w:t>
      </w:r>
    </w:p>
    <w:p>
      <w:pPr>
        <w:widowControl/>
        <w:ind w:firstLine="480"/>
        <w:rPr>
          <w:rFonts w:ascii="宋体" w:cs="Times New Roman"/>
          <w:kern w:val="0"/>
          <w:sz w:val="24"/>
          <w:szCs w:val="24"/>
        </w:rPr>
      </w:pPr>
    </w:p>
    <w:tbl>
      <w:tblPr>
        <w:tblStyle w:val="9"/>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4" w:type="dxa"/>
            <w:gridSpan w:val="5"/>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行政复议</w:t>
            </w:r>
          </w:p>
        </w:tc>
        <w:tc>
          <w:tcPr>
            <w:tcW w:w="5997" w:type="dxa"/>
            <w:gridSpan w:val="10"/>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restart"/>
            <w:tcBorders>
              <w:top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结果维持</w:t>
            </w:r>
          </w:p>
        </w:tc>
        <w:tc>
          <w:tcPr>
            <w:tcW w:w="604" w:type="dxa"/>
            <w:vMerge w:val="restart"/>
            <w:tcBorders>
              <w:top w:val="nil"/>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结果纠正</w:t>
            </w:r>
          </w:p>
        </w:tc>
        <w:tc>
          <w:tcPr>
            <w:tcW w:w="604" w:type="dxa"/>
            <w:vMerge w:val="restart"/>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其他结果</w:t>
            </w:r>
          </w:p>
        </w:tc>
        <w:tc>
          <w:tcPr>
            <w:tcW w:w="604" w:type="dxa"/>
            <w:vMerge w:val="restart"/>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尚未审结</w:t>
            </w:r>
          </w:p>
        </w:tc>
        <w:tc>
          <w:tcPr>
            <w:tcW w:w="658" w:type="dxa"/>
            <w:vMerge w:val="restart"/>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总计</w:t>
            </w:r>
          </w:p>
        </w:tc>
        <w:tc>
          <w:tcPr>
            <w:tcW w:w="2970" w:type="dxa"/>
            <w:gridSpan w:val="5"/>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未经复议直接起诉</w:t>
            </w:r>
          </w:p>
        </w:tc>
        <w:tc>
          <w:tcPr>
            <w:tcW w:w="3027" w:type="dxa"/>
            <w:gridSpan w:val="5"/>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nil"/>
            </w:tcBorders>
            <w:vAlign w:val="center"/>
          </w:tcPr>
          <w:p>
            <w:pPr>
              <w:widowControl/>
              <w:jc w:val="left"/>
              <w:rPr>
                <w:rFonts w:ascii="宋体" w:cs="Times New Roman"/>
                <w:kern w:val="0"/>
                <w:sz w:val="24"/>
                <w:szCs w:val="24"/>
              </w:rPr>
            </w:pPr>
          </w:p>
        </w:tc>
        <w:tc>
          <w:tcPr>
            <w:tcW w:w="0" w:type="auto"/>
            <w:vMerge w:val="continue"/>
            <w:tcBorders>
              <w:top w:val="nil"/>
              <w:left w:val="nil"/>
            </w:tcBorders>
            <w:vAlign w:val="center"/>
          </w:tcPr>
          <w:p>
            <w:pPr>
              <w:widowControl/>
              <w:jc w:val="left"/>
              <w:rPr>
                <w:rFonts w:ascii="宋体" w:cs="Times New Roman"/>
                <w:kern w:val="0"/>
                <w:sz w:val="24"/>
                <w:szCs w:val="24"/>
              </w:rPr>
            </w:pPr>
          </w:p>
        </w:tc>
        <w:tc>
          <w:tcPr>
            <w:tcW w:w="0" w:type="auto"/>
            <w:vMerge w:val="continue"/>
            <w:tcBorders>
              <w:left w:val="nil"/>
            </w:tcBorders>
            <w:vAlign w:val="center"/>
          </w:tcPr>
          <w:p>
            <w:pPr>
              <w:widowControl/>
              <w:jc w:val="left"/>
              <w:rPr>
                <w:rFonts w:ascii="宋体" w:cs="Times New Roman"/>
                <w:kern w:val="0"/>
                <w:sz w:val="24"/>
                <w:szCs w:val="24"/>
              </w:rPr>
            </w:pPr>
          </w:p>
        </w:tc>
        <w:tc>
          <w:tcPr>
            <w:tcW w:w="0" w:type="auto"/>
            <w:vMerge w:val="continue"/>
            <w:tcBorders>
              <w:left w:val="nil"/>
            </w:tcBorders>
            <w:vAlign w:val="center"/>
          </w:tcPr>
          <w:p>
            <w:pPr>
              <w:widowControl/>
              <w:jc w:val="left"/>
              <w:rPr>
                <w:rFonts w:ascii="宋体" w:cs="Times New Roman"/>
                <w:kern w:val="0"/>
                <w:sz w:val="24"/>
                <w:szCs w:val="24"/>
              </w:rPr>
            </w:pPr>
          </w:p>
        </w:tc>
        <w:tc>
          <w:tcPr>
            <w:tcW w:w="0" w:type="auto"/>
            <w:vMerge w:val="continue"/>
            <w:tcBorders>
              <w:left w:val="nil"/>
            </w:tcBorders>
            <w:vAlign w:val="center"/>
          </w:tcPr>
          <w:p>
            <w:pPr>
              <w:widowControl/>
              <w:jc w:val="left"/>
              <w:rPr>
                <w:rFonts w:ascii="宋体" w:cs="Times New Roman"/>
                <w:kern w:val="0"/>
                <w:sz w:val="24"/>
                <w:szCs w:val="24"/>
              </w:rPr>
            </w:pPr>
          </w:p>
        </w:tc>
        <w:tc>
          <w:tcPr>
            <w:tcW w:w="55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结果维持</w:t>
            </w:r>
          </w:p>
        </w:tc>
        <w:tc>
          <w:tcPr>
            <w:tcW w:w="60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结果纠正</w:t>
            </w:r>
          </w:p>
        </w:tc>
        <w:tc>
          <w:tcPr>
            <w:tcW w:w="60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其他结果</w:t>
            </w:r>
          </w:p>
        </w:tc>
        <w:tc>
          <w:tcPr>
            <w:tcW w:w="60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尚未审结</w:t>
            </w:r>
          </w:p>
        </w:tc>
        <w:tc>
          <w:tcPr>
            <w:tcW w:w="60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总计</w:t>
            </w:r>
          </w:p>
        </w:tc>
        <w:tc>
          <w:tcPr>
            <w:tcW w:w="60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结果维持</w:t>
            </w:r>
          </w:p>
        </w:tc>
        <w:tc>
          <w:tcPr>
            <w:tcW w:w="60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结果纠正</w:t>
            </w:r>
          </w:p>
        </w:tc>
        <w:tc>
          <w:tcPr>
            <w:tcW w:w="60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其他结果</w:t>
            </w:r>
          </w:p>
        </w:tc>
        <w:tc>
          <w:tcPr>
            <w:tcW w:w="606"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尚未审结</w:t>
            </w:r>
          </w:p>
        </w:tc>
        <w:tc>
          <w:tcPr>
            <w:tcW w:w="606"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c>
          <w:tcPr>
            <w:tcW w:w="604"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c>
          <w:tcPr>
            <w:tcW w:w="604"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Times New Roman"/>
                <w:sz w:val="20"/>
                <w:szCs w:val="20"/>
                <w:lang w:val="en-US" w:eastAsia="zh-CN"/>
              </w:rPr>
              <w:t>0</w:t>
            </w:r>
            <w:r>
              <w:rPr>
                <w:rFonts w:cs="Times New Roman"/>
                <w:sz w:val="20"/>
                <w:szCs w:val="20"/>
              </w:rPr>
              <w:t> </w:t>
            </w:r>
          </w:p>
        </w:tc>
        <w:tc>
          <w:tcPr>
            <w:tcW w:w="604"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c>
          <w:tcPr>
            <w:tcW w:w="658"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Times New Roman"/>
                <w:sz w:val="20"/>
                <w:szCs w:val="20"/>
                <w:lang w:val="en-US" w:eastAsia="zh-CN"/>
              </w:rPr>
              <w:t>0</w:t>
            </w:r>
            <w:r>
              <w:rPr>
                <w:rFonts w:cs="Times New Roman"/>
                <w:sz w:val="20"/>
                <w:szCs w:val="20"/>
              </w:rPr>
              <w:t> </w:t>
            </w:r>
          </w:p>
        </w:tc>
        <w:tc>
          <w:tcPr>
            <w:tcW w:w="550"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c>
          <w:tcPr>
            <w:tcW w:w="605"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c>
          <w:tcPr>
            <w:tcW w:w="60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Times New Roman"/>
                <w:sz w:val="20"/>
                <w:szCs w:val="20"/>
                <w:lang w:val="en-US" w:eastAsia="zh-CN"/>
              </w:rPr>
              <w:t>0</w:t>
            </w:r>
            <w:r>
              <w:rPr>
                <w:rFonts w:cs="Times New Roman"/>
                <w:sz w:val="20"/>
                <w:szCs w:val="20"/>
              </w:rPr>
              <w:t> </w:t>
            </w:r>
          </w:p>
        </w:tc>
        <w:tc>
          <w:tcPr>
            <w:tcW w:w="605"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c>
          <w:tcPr>
            <w:tcW w:w="605"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ascii="宋体" w:cs="Times New Roman"/>
                <w:color w:val="000000"/>
                <w:kern w:val="0"/>
                <w:sz w:val="20"/>
                <w:szCs w:val="20"/>
              </w:rPr>
              <w:t> </w:t>
            </w:r>
            <w:r>
              <w:rPr>
                <w:rFonts w:hint="eastAsia" w:ascii="宋体" w:cs="Times New Roman"/>
                <w:color w:val="000000"/>
                <w:kern w:val="0"/>
                <w:sz w:val="20"/>
                <w:szCs w:val="20"/>
                <w:lang w:val="en-US" w:eastAsia="zh-CN"/>
              </w:rPr>
              <w:t>0</w:t>
            </w:r>
          </w:p>
        </w:tc>
        <w:tc>
          <w:tcPr>
            <w:tcW w:w="605"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cs="Times New Roman"/>
                <w:sz w:val="20"/>
                <w:szCs w:val="20"/>
              </w:rPr>
              <w:t> </w:t>
            </w:r>
            <w:r>
              <w:rPr>
                <w:rFonts w:hint="eastAsia" w:cs="Times New Roman"/>
                <w:sz w:val="20"/>
                <w:szCs w:val="20"/>
                <w:lang w:val="en-US" w:eastAsia="zh-CN"/>
              </w:rPr>
              <w:t>0</w:t>
            </w:r>
          </w:p>
        </w:tc>
        <w:tc>
          <w:tcPr>
            <w:tcW w:w="60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Times New Roman"/>
                <w:sz w:val="20"/>
                <w:szCs w:val="20"/>
                <w:lang w:val="en-US" w:eastAsia="zh-CN"/>
              </w:rPr>
              <w:t>0</w:t>
            </w:r>
            <w:r>
              <w:rPr>
                <w:rFonts w:cs="Times New Roman"/>
                <w:sz w:val="20"/>
                <w:szCs w:val="20"/>
              </w:rPr>
              <w:t> </w:t>
            </w:r>
          </w:p>
        </w:tc>
        <w:tc>
          <w:tcPr>
            <w:tcW w:w="605" w:type="dxa"/>
            <w:tcBorders>
              <w:left w:val="nil"/>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ascii="宋体" w:cs="Times New Roman"/>
                <w:color w:val="000000"/>
                <w:kern w:val="0"/>
                <w:sz w:val="20"/>
                <w:szCs w:val="20"/>
              </w:rPr>
              <w:t> </w:t>
            </w:r>
            <w:r>
              <w:rPr>
                <w:rFonts w:hint="eastAsia" w:ascii="宋体" w:cs="Times New Roman"/>
                <w:color w:val="000000"/>
                <w:kern w:val="0"/>
                <w:sz w:val="20"/>
                <w:szCs w:val="20"/>
                <w:lang w:val="en-US" w:eastAsia="zh-CN"/>
              </w:rPr>
              <w:t>0</w:t>
            </w:r>
          </w:p>
        </w:tc>
        <w:tc>
          <w:tcPr>
            <w:tcW w:w="606"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Times New Roman"/>
                <w:sz w:val="20"/>
                <w:szCs w:val="20"/>
                <w:lang w:val="en-US" w:eastAsia="zh-CN"/>
              </w:rPr>
              <w:t>0</w:t>
            </w:r>
            <w:r>
              <w:rPr>
                <w:rFonts w:cs="Times New Roman"/>
                <w:sz w:val="20"/>
                <w:szCs w:val="20"/>
              </w:rPr>
              <w:t> </w:t>
            </w:r>
          </w:p>
        </w:tc>
        <w:tc>
          <w:tcPr>
            <w:tcW w:w="606" w:type="dxa"/>
            <w:tcBorders>
              <w:left w:val="nil"/>
            </w:tcBorders>
            <w:vAlign w:val="center"/>
          </w:tcPr>
          <w:p>
            <w:pPr>
              <w:widowControl/>
              <w:jc w:val="left"/>
              <w:rPr>
                <w:rFonts w:hint="eastAsia" w:ascii="宋体" w:eastAsia="宋体" w:cs="Times New Roman"/>
                <w:kern w:val="0"/>
                <w:sz w:val="24"/>
                <w:szCs w:val="24"/>
                <w:lang w:val="en-US" w:eastAsia="zh-CN"/>
              </w:rPr>
            </w:pPr>
            <w:r>
              <w:rPr>
                <w:rFonts w:hint="eastAsia" w:cs="Times New Roman"/>
                <w:sz w:val="20"/>
                <w:szCs w:val="20"/>
                <w:lang w:val="en-US" w:eastAsia="zh-CN"/>
              </w:rPr>
              <w:t>0</w:t>
            </w:r>
          </w:p>
        </w:tc>
      </w:tr>
    </w:tbl>
    <w:p>
      <w:pPr>
        <w:widowControl/>
        <w:jc w:val="center"/>
        <w:rPr>
          <w:rFonts w:ascii="宋体" w:cs="Times New Roman"/>
          <w:kern w:val="0"/>
          <w:sz w:val="24"/>
          <w:szCs w:val="24"/>
        </w:rPr>
      </w:pPr>
    </w:p>
    <w:p>
      <w:pPr>
        <w:widowControl/>
        <w:ind w:firstLine="480"/>
        <w:rPr>
          <w:rFonts w:ascii="宋体" w:cs="Times New Roman"/>
          <w:kern w:val="0"/>
          <w:sz w:val="28"/>
          <w:szCs w:val="28"/>
        </w:rPr>
      </w:pPr>
      <w:r>
        <w:rPr>
          <w:rFonts w:hint="eastAsia" w:ascii="宋体" w:hAnsi="宋体" w:cs="宋体"/>
          <w:kern w:val="0"/>
          <w:sz w:val="28"/>
          <w:szCs w:val="28"/>
        </w:rPr>
        <w:t>五、存在的主要问题及改进情况</w:t>
      </w:r>
    </w:p>
    <w:p>
      <w:pPr>
        <w:widowControl/>
        <w:ind w:firstLine="480"/>
        <w:rPr>
          <w:rFonts w:hint="eastAsia" w:ascii="宋体" w:eastAsia="宋体" w:cs="Times New Roman"/>
          <w:kern w:val="0"/>
          <w:sz w:val="28"/>
          <w:szCs w:val="28"/>
          <w:lang w:eastAsia="zh-CN"/>
        </w:rPr>
      </w:pPr>
      <w:r>
        <w:rPr>
          <w:rFonts w:hint="eastAsia" w:ascii="宋体" w:cs="Times New Roman"/>
          <w:kern w:val="0"/>
          <w:sz w:val="28"/>
          <w:szCs w:val="28"/>
          <w:lang w:eastAsia="zh-CN"/>
        </w:rPr>
        <w:t>无。</w:t>
      </w:r>
    </w:p>
    <w:p>
      <w:pPr>
        <w:widowControl/>
        <w:ind w:firstLine="480"/>
        <w:rPr>
          <w:rFonts w:ascii="宋体" w:cs="Times New Roman"/>
          <w:kern w:val="0"/>
          <w:sz w:val="28"/>
          <w:szCs w:val="28"/>
        </w:rPr>
      </w:pPr>
      <w:r>
        <w:rPr>
          <w:rFonts w:hint="eastAsia" w:ascii="宋体" w:hAnsi="宋体" w:cs="宋体"/>
          <w:kern w:val="0"/>
          <w:sz w:val="28"/>
          <w:szCs w:val="28"/>
        </w:rPr>
        <w:t>六、其他需要报告的事项</w:t>
      </w:r>
    </w:p>
    <w:p>
      <w:pPr>
        <w:ind w:left="0" w:leftChars="0" w:firstLine="420" w:firstLineChars="150"/>
        <w:rPr>
          <w:rFonts w:hint="eastAsia" w:eastAsia="宋体" w:cs="Times New Roman"/>
          <w:lang w:eastAsia="zh-CN"/>
        </w:rPr>
      </w:pPr>
      <w:r>
        <w:rPr>
          <w:rFonts w:hint="eastAsia" w:ascii="宋体" w:hAnsi="宋体" w:cs="宋体"/>
          <w:kern w:val="0"/>
          <w:sz w:val="28"/>
          <w:szCs w:val="28"/>
          <w:lang w:eastAsia="zh-CN"/>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63C1"/>
    <w:rsid w:val="001840A9"/>
    <w:rsid w:val="00413273"/>
    <w:rsid w:val="005563B3"/>
    <w:rsid w:val="00646173"/>
    <w:rsid w:val="006A63C1"/>
    <w:rsid w:val="007468F8"/>
    <w:rsid w:val="00756132"/>
    <w:rsid w:val="007D6A53"/>
    <w:rsid w:val="00860B91"/>
    <w:rsid w:val="008A6907"/>
    <w:rsid w:val="008D7CCA"/>
    <w:rsid w:val="00901530"/>
    <w:rsid w:val="00907475"/>
    <w:rsid w:val="009B6A58"/>
    <w:rsid w:val="00A054DB"/>
    <w:rsid w:val="00A2497F"/>
    <w:rsid w:val="00A537FC"/>
    <w:rsid w:val="00A55CC3"/>
    <w:rsid w:val="00AB36B5"/>
    <w:rsid w:val="00BD158D"/>
    <w:rsid w:val="00C4556A"/>
    <w:rsid w:val="00DB4B72"/>
    <w:rsid w:val="00E24646"/>
    <w:rsid w:val="00E94D62"/>
    <w:rsid w:val="00F02D2B"/>
    <w:rsid w:val="00F07B94"/>
    <w:rsid w:val="109D6694"/>
    <w:rsid w:val="1AA739D1"/>
    <w:rsid w:val="34DA27B6"/>
    <w:rsid w:val="4D0C24AD"/>
    <w:rsid w:val="505C7182"/>
    <w:rsid w:val="6B8C5A3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2"/>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3"/>
    <w:qFormat/>
    <w:uiPriority w:val="99"/>
    <w:pPr>
      <w:keepNext/>
      <w:keepLines/>
      <w:spacing w:before="120" w:after="120"/>
      <w:jc w:val="center"/>
      <w:outlineLvl w:val="1"/>
    </w:pPr>
    <w:rPr>
      <w:rFonts w:ascii="Cambria" w:hAnsi="Cambria" w:eastAsia="方正小标宋简体" w:cs="Cambria"/>
      <w:sz w:val="36"/>
      <w:szCs w:val="36"/>
    </w:rPr>
  </w:style>
  <w:style w:type="character" w:default="1" w:styleId="10">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4"/>
    <w:semiHidden/>
    <w:qFormat/>
    <w:uiPriority w:val="99"/>
    <w:pPr>
      <w:ind w:left="100" w:leftChars="2500"/>
    </w:pPr>
  </w:style>
  <w:style w:type="paragraph" w:styleId="5">
    <w:name w:val="Balloon Text"/>
    <w:basedOn w:val="1"/>
    <w:link w:val="17"/>
    <w:semiHidden/>
    <w:qFormat/>
    <w:uiPriority w:val="99"/>
    <w:rPr>
      <w:sz w:val="18"/>
      <w:szCs w:val="18"/>
    </w:rPr>
  </w:style>
  <w:style w:type="paragraph" w:styleId="6">
    <w:name w:val="footer"/>
    <w:basedOn w:val="1"/>
    <w:link w:val="16"/>
    <w:semiHidden/>
    <w:qFormat/>
    <w:uiPriority w:val="99"/>
    <w:pPr>
      <w:tabs>
        <w:tab w:val="center" w:pos="4153"/>
        <w:tab w:val="right" w:pos="8306"/>
      </w:tabs>
      <w:snapToGrid w:val="0"/>
      <w:jc w:val="left"/>
    </w:pPr>
    <w:rPr>
      <w:sz w:val="18"/>
      <w:szCs w:val="18"/>
    </w:rPr>
  </w:style>
  <w:style w:type="paragraph" w:styleId="7">
    <w:name w:val="header"/>
    <w:basedOn w:val="1"/>
    <w:link w:val="15"/>
    <w:semiHidden/>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iPriority w:val="99"/>
    <w:pPr>
      <w:widowControl/>
      <w:spacing w:before="100" w:beforeAutospacing="1" w:after="100" w:afterAutospacing="1"/>
      <w:jc w:val="left"/>
    </w:pPr>
    <w:rPr>
      <w:rFonts w:ascii="宋体" w:hAnsi="宋体" w:cs="宋体"/>
      <w:kern w:val="0"/>
      <w:sz w:val="24"/>
      <w:szCs w:val="24"/>
    </w:rPr>
  </w:style>
  <w:style w:type="character" w:styleId="11">
    <w:name w:val="Hyperlink"/>
    <w:basedOn w:val="10"/>
    <w:semiHidden/>
    <w:qFormat/>
    <w:uiPriority w:val="99"/>
    <w:rPr>
      <w:color w:val="0000FF"/>
      <w:u w:val="single"/>
    </w:rPr>
  </w:style>
  <w:style w:type="character" w:customStyle="1" w:styleId="12">
    <w:name w:val="Heading 1 Char"/>
    <w:basedOn w:val="10"/>
    <w:link w:val="2"/>
    <w:qFormat/>
    <w:locked/>
    <w:uiPriority w:val="99"/>
    <w:rPr>
      <w:rFonts w:ascii="Calibri" w:hAnsi="Calibri" w:eastAsia="宋体" w:cs="Calibri"/>
      <w:b/>
      <w:bCs/>
      <w:kern w:val="44"/>
      <w:sz w:val="44"/>
      <w:szCs w:val="44"/>
    </w:rPr>
  </w:style>
  <w:style w:type="character" w:customStyle="1" w:styleId="13">
    <w:name w:val="Heading 2 Char"/>
    <w:basedOn w:val="10"/>
    <w:link w:val="3"/>
    <w:qFormat/>
    <w:locked/>
    <w:uiPriority w:val="99"/>
    <w:rPr>
      <w:rFonts w:ascii="Cambria" w:hAnsi="Cambria" w:eastAsia="方正小标宋简体" w:cs="Cambria"/>
      <w:sz w:val="36"/>
      <w:szCs w:val="36"/>
    </w:rPr>
  </w:style>
  <w:style w:type="character" w:customStyle="1" w:styleId="14">
    <w:name w:val="Date Char"/>
    <w:basedOn w:val="10"/>
    <w:link w:val="4"/>
    <w:semiHidden/>
    <w:qFormat/>
    <w:locked/>
    <w:uiPriority w:val="99"/>
    <w:rPr>
      <w:rFonts w:ascii="Calibri" w:hAnsi="Calibri" w:eastAsia="宋体" w:cs="Calibri"/>
      <w:sz w:val="21"/>
      <w:szCs w:val="21"/>
    </w:rPr>
  </w:style>
  <w:style w:type="character" w:customStyle="1" w:styleId="15">
    <w:name w:val="Header Char"/>
    <w:basedOn w:val="10"/>
    <w:link w:val="7"/>
    <w:semiHidden/>
    <w:qFormat/>
    <w:locked/>
    <w:uiPriority w:val="99"/>
    <w:rPr>
      <w:rFonts w:ascii="Calibri" w:hAnsi="Calibri" w:eastAsia="宋体" w:cs="Calibri"/>
      <w:sz w:val="18"/>
      <w:szCs w:val="18"/>
    </w:rPr>
  </w:style>
  <w:style w:type="character" w:customStyle="1" w:styleId="16">
    <w:name w:val="Footer Char"/>
    <w:basedOn w:val="10"/>
    <w:link w:val="6"/>
    <w:semiHidden/>
    <w:qFormat/>
    <w:locked/>
    <w:uiPriority w:val="99"/>
    <w:rPr>
      <w:rFonts w:ascii="Calibri" w:hAnsi="Calibri" w:eastAsia="宋体" w:cs="Calibri"/>
      <w:sz w:val="18"/>
      <w:szCs w:val="18"/>
    </w:rPr>
  </w:style>
  <w:style w:type="character" w:customStyle="1" w:styleId="17">
    <w:name w:val="Balloon Text Char"/>
    <w:basedOn w:val="10"/>
    <w:link w:val="5"/>
    <w:semiHidden/>
    <w:locked/>
    <w:uiPriority w:val="99"/>
    <w:rPr>
      <w:rFonts w:ascii="Calibri" w:hAnsi="Calibri" w:eastAsia="宋体" w:cs="Calibri"/>
      <w:sz w:val="18"/>
      <w:szCs w:val="18"/>
    </w:rPr>
  </w:style>
  <w:style w:type="character" w:customStyle="1" w:styleId="18">
    <w:name w:val="font"/>
    <w:basedOn w:val="10"/>
    <w:uiPriority w:val="99"/>
  </w:style>
  <w:style w:type="character" w:customStyle="1" w:styleId="19">
    <w:name w:val="bigger"/>
    <w:basedOn w:val="10"/>
    <w:uiPriority w:val="99"/>
  </w:style>
  <w:style w:type="character" w:customStyle="1" w:styleId="20">
    <w:name w:val="medium"/>
    <w:basedOn w:val="10"/>
    <w:qFormat/>
    <w:uiPriority w:val="99"/>
  </w:style>
  <w:style w:type="character" w:customStyle="1" w:styleId="21">
    <w:name w:val="smaller"/>
    <w:basedOn w:val="10"/>
    <w:qFormat/>
    <w:uiPriority w:val="99"/>
  </w:style>
  <w:style w:type="character" w:customStyle="1" w:styleId="22">
    <w:name w:val="gwds_more"/>
    <w:basedOn w:val="10"/>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3</Pages>
  <Words>201</Words>
  <Characters>1150</Characters>
  <Lines>0</Lines>
  <Paragraphs>0</Paragraphs>
  <TotalTime>27</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2019-12-03T02:47:00Z</dcterms:created>
  <dc:creator>undefined</dc:creator>
  <cp:lastModifiedBy>aq</cp:lastModifiedBy>
  <cp:lastPrinted>2021-01-14T07:11:07Z</cp:lastPrinted>
  <dcterms:modified xsi:type="dcterms:W3CDTF">2021-01-14T07:24:45Z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