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204"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39"/>
        <w:gridCol w:w="850"/>
        <w:gridCol w:w="1134"/>
        <w:gridCol w:w="3118"/>
        <w:gridCol w:w="1305"/>
        <w:gridCol w:w="3798"/>
        <w:gridCol w:w="2864"/>
        <w:gridCol w:w="596"/>
      </w:tblGrid>
      <w:tr w14:paraId="63FFF9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33" w:hRule="atLeast"/>
        </w:trPr>
        <w:tc>
          <w:tcPr>
            <w:tcW w:w="53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14:paraId="026F08F7">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序号</w:t>
            </w:r>
          </w:p>
        </w:tc>
        <w:tc>
          <w:tcPr>
            <w:tcW w:w="850" w:type="dxa"/>
            <w:tcBorders>
              <w:left w:val="single" w:color="auto" w:sz="4" w:space="0"/>
              <w:tl2br w:val="nil"/>
              <w:tr2bl w:val="nil"/>
            </w:tcBorders>
            <w:shd w:val="clear" w:color="auto" w:fill="auto"/>
            <w:vAlign w:val="center"/>
          </w:tcPr>
          <w:p w14:paraId="40DA901E">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权利类型</w:t>
            </w:r>
          </w:p>
        </w:tc>
        <w:tc>
          <w:tcPr>
            <w:tcW w:w="1134" w:type="dxa"/>
            <w:tcBorders>
              <w:tl2br w:val="nil"/>
              <w:tr2bl w:val="nil"/>
            </w:tcBorders>
            <w:shd w:val="clear" w:color="auto" w:fill="auto"/>
            <w:vAlign w:val="center"/>
          </w:tcPr>
          <w:p w14:paraId="53224C7D">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权力事项</w:t>
            </w:r>
          </w:p>
        </w:tc>
        <w:tc>
          <w:tcPr>
            <w:tcW w:w="3118" w:type="dxa"/>
            <w:tcBorders>
              <w:tl2br w:val="nil"/>
              <w:tr2bl w:val="nil"/>
            </w:tcBorders>
            <w:shd w:val="clear" w:color="auto" w:fill="auto"/>
            <w:vAlign w:val="center"/>
          </w:tcPr>
          <w:p w14:paraId="1712E9A9">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实施依据</w:t>
            </w:r>
          </w:p>
        </w:tc>
        <w:tc>
          <w:tcPr>
            <w:tcW w:w="1305" w:type="dxa"/>
            <w:tcBorders>
              <w:tl2br w:val="nil"/>
              <w:tr2bl w:val="nil"/>
            </w:tcBorders>
            <w:shd w:val="clear" w:color="auto" w:fill="auto"/>
            <w:vAlign w:val="center"/>
          </w:tcPr>
          <w:p w14:paraId="3FF15988">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行政主体</w:t>
            </w:r>
          </w:p>
        </w:tc>
        <w:tc>
          <w:tcPr>
            <w:tcW w:w="3798" w:type="dxa"/>
            <w:tcBorders>
              <w:tl2br w:val="nil"/>
              <w:tr2bl w:val="nil"/>
            </w:tcBorders>
            <w:shd w:val="clear" w:color="auto" w:fill="auto"/>
            <w:vAlign w:val="center"/>
          </w:tcPr>
          <w:p w14:paraId="54FA0CF4">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责任事项</w:t>
            </w:r>
          </w:p>
        </w:tc>
        <w:tc>
          <w:tcPr>
            <w:tcW w:w="2864" w:type="dxa"/>
            <w:tcBorders>
              <w:tl2br w:val="nil"/>
              <w:tr2bl w:val="nil"/>
            </w:tcBorders>
            <w:shd w:val="clear" w:color="auto" w:fill="auto"/>
            <w:vAlign w:val="center"/>
          </w:tcPr>
          <w:p w14:paraId="59209414">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追责情形</w:t>
            </w:r>
          </w:p>
        </w:tc>
        <w:tc>
          <w:tcPr>
            <w:tcW w:w="596" w:type="dxa"/>
            <w:tcBorders>
              <w:tl2br w:val="nil"/>
              <w:tr2bl w:val="nil"/>
            </w:tcBorders>
            <w:shd w:val="clear" w:color="auto" w:fill="auto"/>
            <w:tcMar>
              <w:top w:w="0" w:type="dxa"/>
              <w:left w:w="0" w:type="dxa"/>
              <w:bottom w:w="0" w:type="dxa"/>
              <w:right w:w="0" w:type="dxa"/>
            </w:tcMar>
            <w:vAlign w:val="center"/>
          </w:tcPr>
          <w:p w14:paraId="67EF2C98">
            <w:pPr>
              <w:widowControl/>
              <w:spacing w:line="240" w:lineRule="exact"/>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备注</w:t>
            </w:r>
          </w:p>
        </w:tc>
      </w:tr>
      <w:tr w14:paraId="42945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14:paraId="34FE2F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left w:val="single" w:color="auto" w:sz="4" w:space="0"/>
              <w:tl2br w:val="nil"/>
              <w:tr2bl w:val="nil"/>
            </w:tcBorders>
            <w:shd w:val="clear" w:color="auto" w:fill="auto"/>
            <w:vAlign w:val="center"/>
          </w:tcPr>
          <w:p w14:paraId="782EFC2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行政许可</w:t>
            </w:r>
          </w:p>
        </w:tc>
        <w:tc>
          <w:tcPr>
            <w:tcW w:w="1134" w:type="dxa"/>
            <w:tcBorders>
              <w:tl2br w:val="nil"/>
              <w:tr2bl w:val="nil"/>
            </w:tcBorders>
            <w:shd w:val="clear" w:color="auto" w:fill="auto"/>
            <w:vAlign w:val="center"/>
          </w:tcPr>
          <w:p w14:paraId="733CA5A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建筑工程消防设计审查</w:t>
            </w:r>
          </w:p>
        </w:tc>
        <w:tc>
          <w:tcPr>
            <w:tcW w:w="3118" w:type="dxa"/>
            <w:tcBorders>
              <w:tl2br w:val="nil"/>
              <w:tr2bl w:val="nil"/>
            </w:tcBorders>
            <w:shd w:val="clear" w:color="auto" w:fill="auto"/>
            <w:vAlign w:val="center"/>
          </w:tcPr>
          <w:p w14:paraId="598D0F8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1.《中华人民共和国消防法》第十条 对按照国家工程建设消防技术标准需要进行消防设计的建设工程，实行建设工程消防设计审查验收制度。第十一条 国务院住房和城乡建设主管部门规定的特殊建设工程，建设单位应当将消防设计文件报送住房和城乡建设主管部门审查，住房和城乡建设主管部门依法对审查的结果负责。</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2.《建设工程消防设计审查验收管理暂行规定》（部令第51号）第三条 县级以上地方人民政府住房和城乡建设主管部门依职责承担本行政区域内建设工程的消防设计审查、消防验收、备案和抽查工作。</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3.《河北省建设工程消防设计审查验收管理暂行办法》第三条 县级以上地方人民政府住房城乡建设或者行政审批主管部门依职责承担本行政区域内建设工程的消防设计审查、消防验收、备案和抽查工作。</w:t>
            </w:r>
          </w:p>
        </w:tc>
        <w:tc>
          <w:tcPr>
            <w:tcW w:w="1305" w:type="dxa"/>
            <w:tcBorders>
              <w:tl2br w:val="nil"/>
              <w:tr2bl w:val="nil"/>
            </w:tcBorders>
            <w:shd w:val="clear" w:color="auto" w:fill="auto"/>
            <w:vAlign w:val="center"/>
          </w:tcPr>
          <w:p w14:paraId="1CC7F8E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98" w:type="dxa"/>
            <w:tcBorders>
              <w:tl2br w:val="nil"/>
              <w:tr2bl w:val="nil"/>
            </w:tcBorders>
            <w:shd w:val="clear" w:color="auto" w:fill="auto"/>
            <w:vAlign w:val="center"/>
          </w:tcPr>
          <w:p w14:paraId="705B130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1.受理责任：公示应当提交的材料，一次性告知补正材料，依法受理或不予受理（不予受理应当告知理由）。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按照住建部《建设工程消防设计审查验收管理暂行规定》（住建部令第51号）和省住建厅《河北省建设工程消防设计审查验收管理暂行办法》（冀建法改[2020]8号）有关规定，对提交的申请消防设计审查材料进行审查，是否符合消防设计审查有关规定条件，提出消防设计审查意见。具有特殊消防设计情形的，省住房城乡建设主管部门要组织特殊消防设计专家进行评审。</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3.决定责任；作出消防设计审查合格意见或者不合格意见，法定告知（作出不合格意见的应当说明理由）。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4.送达责任：向建设单位出具消防设计审查意见。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5.事后监管责任：建立实施监督检查的运行机制和管理制度，开展定期和不定期检查，依法采取相关处置措施。</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6.其他法律法规规章文件规定应履行的责任。</w:t>
            </w:r>
          </w:p>
        </w:tc>
        <w:tc>
          <w:tcPr>
            <w:tcW w:w="2864" w:type="dxa"/>
            <w:tcBorders>
              <w:tl2br w:val="nil"/>
              <w:tr2bl w:val="nil"/>
            </w:tcBorders>
            <w:shd w:val="clear" w:color="auto" w:fill="auto"/>
            <w:vAlign w:val="center"/>
          </w:tcPr>
          <w:p w14:paraId="6242BC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工作人员滥用职权、玩忽职守、徇私舞弊，有下列行为之一，尚不构成犯罪的，依法给予处分：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1.对不符合消防安全要求的消防设计文件、工程、场所准予审查合格、消防验收合格、消防安全检查合格的；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2.无故拖延消防设计审查、消防验收、消防安全检查，不在法定期限内履行职责的；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3.利用职务为用户、建设单位指定或者变相指定消防产品的品牌、销售单位或者消防技术服务机构、消防设施施工单位的。</w:t>
            </w:r>
          </w:p>
        </w:tc>
        <w:tc>
          <w:tcPr>
            <w:tcW w:w="596" w:type="dxa"/>
            <w:tcBorders>
              <w:tl2br w:val="nil"/>
              <w:tr2bl w:val="nil"/>
            </w:tcBorders>
            <w:shd w:val="clear" w:color="auto" w:fill="auto"/>
            <w:tcMar>
              <w:top w:w="0" w:type="dxa"/>
              <w:left w:w="0" w:type="dxa"/>
              <w:bottom w:w="0" w:type="dxa"/>
              <w:right w:w="0" w:type="dxa"/>
            </w:tcMar>
            <w:vAlign w:val="center"/>
          </w:tcPr>
          <w:p w14:paraId="1100E16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市县（区）同权</w:t>
            </w:r>
          </w:p>
        </w:tc>
      </w:tr>
      <w:tr w14:paraId="11BA0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op w:val="single" w:color="auto" w:sz="4" w:space="0"/>
              <w:tl2br w:val="nil"/>
              <w:tr2bl w:val="nil"/>
            </w:tcBorders>
            <w:shd w:val="clear" w:color="auto" w:fill="auto"/>
            <w:vAlign w:val="center"/>
          </w:tcPr>
          <w:p w14:paraId="2D27717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l2br w:val="nil"/>
              <w:tr2bl w:val="nil"/>
            </w:tcBorders>
            <w:shd w:val="clear" w:color="auto" w:fill="auto"/>
            <w:vAlign w:val="center"/>
          </w:tcPr>
          <w:p w14:paraId="5180EF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行政许可</w:t>
            </w:r>
          </w:p>
        </w:tc>
        <w:tc>
          <w:tcPr>
            <w:tcW w:w="1134" w:type="dxa"/>
            <w:tcBorders>
              <w:tl2br w:val="nil"/>
              <w:tr2bl w:val="nil"/>
            </w:tcBorders>
            <w:shd w:val="clear" w:color="auto" w:fill="auto"/>
            <w:vAlign w:val="center"/>
          </w:tcPr>
          <w:p w14:paraId="4E05451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建筑工程消防验收</w:t>
            </w:r>
          </w:p>
        </w:tc>
        <w:tc>
          <w:tcPr>
            <w:tcW w:w="3118" w:type="dxa"/>
            <w:tcBorders>
              <w:tl2br w:val="nil"/>
              <w:tr2bl w:val="nil"/>
            </w:tcBorders>
            <w:shd w:val="clear" w:color="auto" w:fill="auto"/>
            <w:vAlign w:val="center"/>
          </w:tcPr>
          <w:p w14:paraId="1953625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《中华人民共和国消防法》第十三条 国务院住房和城乡建设主管部门规定应当申请消防验收的建设工程竣工，建设单位应当向住房和城乡建设主管部门申请消防验收。第十四条 建设工程消防设计审查、消防验收、备案和抽查的具体办法，由国务院住房和城乡建设主管部门规定。</w:t>
            </w:r>
          </w:p>
        </w:tc>
        <w:tc>
          <w:tcPr>
            <w:tcW w:w="1305" w:type="dxa"/>
            <w:tcBorders>
              <w:tl2br w:val="nil"/>
              <w:tr2bl w:val="nil"/>
            </w:tcBorders>
            <w:shd w:val="clear" w:color="auto" w:fill="auto"/>
            <w:vAlign w:val="center"/>
          </w:tcPr>
          <w:p w14:paraId="2811060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98" w:type="dxa"/>
            <w:tcBorders>
              <w:tl2br w:val="nil"/>
              <w:tr2bl w:val="nil"/>
            </w:tcBorders>
            <w:shd w:val="clear" w:color="auto" w:fill="auto"/>
            <w:vAlign w:val="center"/>
          </w:tcPr>
          <w:p w14:paraId="31754C1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1.受理责任：公示应当提交的材料，一次性告知补正材料，依法受理或不予受理（不予受理应当告知理由）。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按照《建设工程消防设计审查验收管理暂行规定》（住建部第51号令）第二十八条，消防设计审查验收主管部门收到建设单位提交的消防验收申请后，对申请材料齐全的，应当出具受理凭证；申请材料不齐全的，应当一次性告知需要补正的全部内容。消防设计审查验收主管部门受理消防验收申请后，应当按照国家有关规定，对特殊建设工程进行现场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3.决定责任；作出行政许可或者不予行政许可决定，法定告知（不予许可的应当书面告知理由）。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4.送达责任：准予许可的制发送达许可证，按规定进行信息公开。</w:t>
            </w:r>
          </w:p>
        </w:tc>
        <w:tc>
          <w:tcPr>
            <w:tcW w:w="2864" w:type="dxa"/>
            <w:tcBorders>
              <w:tl2br w:val="nil"/>
              <w:tr2bl w:val="nil"/>
            </w:tcBorders>
            <w:shd w:val="clear" w:color="auto" w:fill="auto"/>
            <w:vAlign w:val="center"/>
          </w:tcPr>
          <w:p w14:paraId="299AAA6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法定条件的行政许可申请不予受理的；不在办公场所公示依法应当公示的材料的；在受理、审查、决定行政许可过程中，未向申请人、利害关系人履行法定告知义务的；申请人提交的申请材料不齐全、不符合法定形式，不一次告知申请人必须补正的全部内容的；未依法说明不受理行政许可申请或者不予行政许可的理由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不符合消防安全要求的消防设计文件、建设工程、场所准予审查合格、消防验收合格、消防安全检查合格的；无故拖延消防设计审查、消防验收、消防安全检查，不在法定期限内履行职责的；利用职务为用户、建设单位指定或者变相指定消防产品的品牌、销售单位或者消防技术服务机构、消防设施施工单位的；其他滥用职权、玩忽职守、徇私舞弊的行为。</w:t>
            </w:r>
          </w:p>
        </w:tc>
        <w:tc>
          <w:tcPr>
            <w:tcW w:w="596" w:type="dxa"/>
            <w:tcBorders>
              <w:tl2br w:val="nil"/>
              <w:tr2bl w:val="nil"/>
            </w:tcBorders>
            <w:shd w:val="clear" w:color="auto" w:fill="auto"/>
            <w:tcMar>
              <w:top w:w="0" w:type="dxa"/>
              <w:left w:w="0" w:type="dxa"/>
              <w:bottom w:w="0" w:type="dxa"/>
              <w:right w:w="0" w:type="dxa"/>
            </w:tcMar>
            <w:vAlign w:val="center"/>
          </w:tcPr>
          <w:p w14:paraId="0AFBEF9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市县（区）同权</w:t>
            </w:r>
          </w:p>
        </w:tc>
      </w:tr>
      <w:tr w14:paraId="2630C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l2br w:val="nil"/>
              <w:tr2bl w:val="nil"/>
            </w:tcBorders>
            <w:shd w:val="clear" w:color="auto" w:fill="auto"/>
            <w:vAlign w:val="center"/>
          </w:tcPr>
          <w:p w14:paraId="1C6809E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l2br w:val="nil"/>
              <w:tr2bl w:val="nil"/>
            </w:tcBorders>
            <w:shd w:val="clear" w:color="auto" w:fill="auto"/>
            <w:vAlign w:val="center"/>
          </w:tcPr>
          <w:p w14:paraId="78251AB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行政许可</w:t>
            </w:r>
          </w:p>
        </w:tc>
        <w:tc>
          <w:tcPr>
            <w:tcW w:w="1134" w:type="dxa"/>
            <w:tcBorders>
              <w:tl2br w:val="nil"/>
              <w:tr2bl w:val="nil"/>
            </w:tcBorders>
            <w:shd w:val="clear" w:color="auto" w:fill="auto"/>
            <w:vAlign w:val="center"/>
          </w:tcPr>
          <w:p w14:paraId="44E21FA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建筑起重机械使用登记</w:t>
            </w:r>
          </w:p>
        </w:tc>
        <w:tc>
          <w:tcPr>
            <w:tcW w:w="3118" w:type="dxa"/>
            <w:tcBorders>
              <w:tl2br w:val="nil"/>
              <w:tr2bl w:val="nil"/>
            </w:tcBorders>
            <w:shd w:val="clear" w:color="auto" w:fill="auto"/>
            <w:vAlign w:val="center"/>
          </w:tcPr>
          <w:p w14:paraId="5CA0805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1.《中华人民共和国特种设备安全法》（2013年6月29日中华人民共和国主席令第4号）第三十三条 特种设备使用单位应当在特种设备投入使用前或者投入使用后三十日内，向负责特种设备安全监督管理的部门办理使用登记，取得使用登记证书。登记标志应当置于该特种设备的显著位置。</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2.《特种设备安全</w:t>
            </w:r>
            <w:r>
              <w:rPr>
                <w:rFonts w:hint="eastAsia" w:ascii="仿宋_GB2312" w:hAnsi="仿宋_GB2312" w:eastAsia="仿宋_GB2312" w:cs="仿宋_GB2312"/>
                <w:color w:val="000000"/>
                <w:kern w:val="0"/>
                <w:sz w:val="18"/>
                <w:szCs w:val="18"/>
                <w:lang w:val="en-US" w:eastAsia="zh-CN"/>
              </w:rPr>
              <w:t>监察</w:t>
            </w:r>
            <w:r>
              <w:rPr>
                <w:rFonts w:hint="eastAsia" w:ascii="仿宋_GB2312" w:hAnsi="仿宋_GB2312" w:eastAsia="仿宋_GB2312" w:cs="仿宋_GB2312"/>
                <w:color w:val="000000"/>
                <w:kern w:val="0"/>
                <w:sz w:val="18"/>
                <w:szCs w:val="18"/>
              </w:rPr>
              <w:t>条例》（国务院第549号）第二十五条 特种</w:t>
            </w:r>
            <w:bookmarkStart w:id="0" w:name="_GoBack"/>
            <w:bookmarkEnd w:id="0"/>
            <w:r>
              <w:rPr>
                <w:rFonts w:hint="eastAsia" w:ascii="仿宋_GB2312" w:hAnsi="仿宋_GB2312" w:eastAsia="仿宋_GB2312" w:cs="仿宋_GB2312"/>
                <w:color w:val="000000"/>
                <w:kern w:val="0"/>
                <w:sz w:val="18"/>
                <w:szCs w:val="18"/>
              </w:rPr>
              <w:t>设备在投入使用前或者投入使用后30日内，特种设备使用单位应当向直辖市或者设区的市的特种设备安全监督管理部门登记。登记标志应当置于或者附着于该特种设备的显著位置。</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3.《建筑起重机械安全监督管理规定》（2008年1月28日原建设部令第166号）第十七条 使用单位应当自建筑起重机械安装验收合格之日起30日内，将建筑起重机械安装验收资料、建筑起重机械安全管理制度、特种作业人员名单等，向工程所在地县级以上地方人民政府建设主管部门办理建筑起重机械使用登记。登记标志置于或者附着于该设备的显著位置。</w:t>
            </w:r>
          </w:p>
        </w:tc>
        <w:tc>
          <w:tcPr>
            <w:tcW w:w="1305" w:type="dxa"/>
            <w:tcBorders>
              <w:tl2br w:val="nil"/>
              <w:tr2bl w:val="nil"/>
            </w:tcBorders>
            <w:shd w:val="clear" w:color="auto" w:fill="auto"/>
            <w:vAlign w:val="center"/>
          </w:tcPr>
          <w:p w14:paraId="2511ACE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98" w:type="dxa"/>
            <w:tcBorders>
              <w:tl2br w:val="nil"/>
              <w:tr2bl w:val="nil"/>
            </w:tcBorders>
            <w:shd w:val="clear" w:color="auto" w:fill="auto"/>
            <w:vAlign w:val="center"/>
          </w:tcPr>
          <w:p w14:paraId="2FB0F0D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2.审查环节责任：对申请人提交的备案材料进行审查，符合备案条件的，予以备案，不符合条件的，不予以备案，并告知理由。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3.备案环节责任：符合条件应及时办理告知手续。</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4.监管环节责任：采取法律法规规定的各种形式加强备案后续监管。</w:t>
            </w:r>
          </w:p>
          <w:p w14:paraId="058E172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5.其他法律法规规章规定的应履行的责任。</w:t>
            </w:r>
          </w:p>
        </w:tc>
        <w:tc>
          <w:tcPr>
            <w:tcW w:w="2864" w:type="dxa"/>
            <w:tcBorders>
              <w:tl2br w:val="nil"/>
              <w:tr2bl w:val="nil"/>
            </w:tcBorders>
            <w:shd w:val="clear" w:color="auto" w:fill="auto"/>
            <w:vAlign w:val="center"/>
          </w:tcPr>
          <w:p w14:paraId="54176ED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51E64C1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1.不在办公场所公示依法应当公示的材料的。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2.符合申报条件不予受理、不予办理的。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3.不符合申报条件予以受理、办理的。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4.执法人员玩忽职守、滥用职权、循私舞弊的。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5.其他违反法律法规规章规定的行为。</w:t>
            </w:r>
          </w:p>
        </w:tc>
        <w:tc>
          <w:tcPr>
            <w:tcW w:w="596" w:type="dxa"/>
            <w:tcBorders>
              <w:tl2br w:val="nil"/>
              <w:tr2bl w:val="nil"/>
            </w:tcBorders>
            <w:shd w:val="clear" w:color="auto" w:fill="auto"/>
            <w:tcMar>
              <w:top w:w="0" w:type="dxa"/>
              <w:left w:w="0" w:type="dxa"/>
              <w:bottom w:w="0" w:type="dxa"/>
              <w:right w:w="0" w:type="dxa"/>
            </w:tcMar>
            <w:vAlign w:val="center"/>
          </w:tcPr>
          <w:p w14:paraId="6EB874C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市县区同权，按区域划分</w:t>
            </w:r>
          </w:p>
        </w:tc>
      </w:tr>
      <w:tr w14:paraId="468E7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l2br w:val="nil"/>
              <w:tr2bl w:val="nil"/>
            </w:tcBorders>
            <w:shd w:val="clear" w:color="auto" w:fill="auto"/>
            <w:vAlign w:val="center"/>
          </w:tcPr>
          <w:p w14:paraId="11B62611">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4</w:t>
            </w:r>
          </w:p>
        </w:tc>
        <w:tc>
          <w:tcPr>
            <w:tcW w:w="850" w:type="dxa"/>
            <w:tcBorders>
              <w:tl2br w:val="nil"/>
              <w:tr2bl w:val="nil"/>
            </w:tcBorders>
            <w:shd w:val="clear" w:color="auto" w:fill="auto"/>
            <w:vAlign w:val="center"/>
          </w:tcPr>
          <w:p w14:paraId="56FAB41D">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行政许可</w:t>
            </w:r>
          </w:p>
        </w:tc>
        <w:tc>
          <w:tcPr>
            <w:tcW w:w="1134" w:type="dxa"/>
            <w:tcBorders>
              <w:tl2br w:val="nil"/>
              <w:tr2bl w:val="nil"/>
            </w:tcBorders>
            <w:shd w:val="clear" w:color="auto" w:fill="auto"/>
            <w:vAlign w:val="center"/>
          </w:tcPr>
          <w:p w14:paraId="68E6C25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商品房预售许可</w:t>
            </w:r>
          </w:p>
        </w:tc>
        <w:tc>
          <w:tcPr>
            <w:tcW w:w="3118" w:type="dxa"/>
            <w:tcBorders>
              <w:tl2br w:val="nil"/>
              <w:tr2bl w:val="nil"/>
            </w:tcBorders>
            <w:shd w:val="clear" w:color="auto" w:fill="auto"/>
            <w:vAlign w:val="center"/>
          </w:tcPr>
          <w:p w14:paraId="7261779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中华人民共和国城市房地产管理法》第四十五条规定，商品房预售，应当符合下列条件：已交付全部土地使用权出让金，取得土地使用权证书；持有建设工程规划许可证；按提供预售的商品房计算，投入开发建设的资金达到工程建设总投资的百分之二十五以上，并已经确定施工进度和竣工交付日期；向县级以上人民政府房产管理部门办理预售登记，取得商品房预售许可证明</w:t>
            </w:r>
          </w:p>
        </w:tc>
        <w:tc>
          <w:tcPr>
            <w:tcW w:w="1305" w:type="dxa"/>
            <w:tcBorders>
              <w:tl2br w:val="nil"/>
              <w:tr2bl w:val="nil"/>
            </w:tcBorders>
            <w:shd w:val="clear" w:color="auto" w:fill="auto"/>
            <w:vAlign w:val="center"/>
          </w:tcPr>
          <w:p w14:paraId="2E293BD0">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798" w:type="dxa"/>
            <w:tcBorders>
              <w:tl2br w:val="nil"/>
              <w:tr2bl w:val="nil"/>
            </w:tcBorders>
            <w:shd w:val="clear" w:color="auto" w:fill="auto"/>
            <w:vAlign w:val="center"/>
          </w:tcPr>
          <w:p w14:paraId="6BB9291D">
            <w:pPr>
              <w:widowControl/>
              <w:spacing w:line="240" w:lineRule="exact"/>
              <w:jc w:val="left"/>
              <w:textAlignment w:val="center"/>
              <w:rPr>
                <w:rFonts w:hint="eastAsia" w:ascii="仿宋_GB2312" w:hAnsi="仿宋_GB2312" w:eastAsia="仿宋_GB2312" w:cs="仿宋_GB2312"/>
                <w:color w:val="FF0000"/>
                <w:kern w:val="0"/>
                <w:sz w:val="18"/>
                <w:szCs w:val="18"/>
              </w:rPr>
            </w:pPr>
          </w:p>
          <w:p w14:paraId="723B5CA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1.</w:t>
            </w:r>
            <w:r>
              <w:rPr>
                <w:rFonts w:hint="eastAsia" w:ascii="仿宋_GB2312" w:hAnsi="仿宋_GB2312" w:eastAsia="仿宋_GB2312" w:cs="仿宋_GB2312"/>
                <w:color w:val="FF0000"/>
                <w:kern w:val="0"/>
                <w:sz w:val="18"/>
                <w:szCs w:val="18"/>
              </w:rPr>
              <w:t>受理责任：公示法定应当提交的材料；一次性告知补正材料；依法受理或不予受理申请（不予受理的说明理由）。</w:t>
            </w:r>
          </w:p>
          <w:p w14:paraId="10B3F5D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2.</w:t>
            </w:r>
            <w:r>
              <w:rPr>
                <w:rFonts w:hint="eastAsia" w:ascii="仿宋_GB2312" w:hAnsi="仿宋_GB2312" w:eastAsia="仿宋_GB2312" w:cs="仿宋_GB2312"/>
                <w:color w:val="FF0000"/>
                <w:kern w:val="0"/>
                <w:sz w:val="18"/>
                <w:szCs w:val="18"/>
              </w:rPr>
              <w:t>审查责任：对申请人提交的申请材料进行审查，提出审查意见。</w:t>
            </w:r>
          </w:p>
          <w:p w14:paraId="5B8815E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3.</w:t>
            </w:r>
            <w:r>
              <w:rPr>
                <w:rFonts w:hint="eastAsia" w:ascii="仿宋_GB2312" w:hAnsi="仿宋_GB2312" w:eastAsia="仿宋_GB2312" w:cs="仿宋_GB2312"/>
                <w:color w:val="FF0000"/>
                <w:kern w:val="0"/>
                <w:sz w:val="18"/>
                <w:szCs w:val="18"/>
              </w:rPr>
              <w:t>决定责任：在规定期限内作出许可或不予许可的书面决定；不予许可应告知理由，并告知相对人申请复议或提起行政诉讼的权利。</w:t>
            </w:r>
          </w:p>
          <w:p w14:paraId="5DAE6FF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4.</w:t>
            </w:r>
            <w:r>
              <w:rPr>
                <w:rFonts w:hint="eastAsia" w:ascii="仿宋_GB2312" w:hAnsi="仿宋_GB2312" w:eastAsia="仿宋_GB2312" w:cs="仿宋_GB2312"/>
                <w:color w:val="FF0000"/>
                <w:kern w:val="0"/>
                <w:sz w:val="18"/>
                <w:szCs w:val="18"/>
              </w:rPr>
              <w:t>送达责任：在规定期限内向申请人送达行政许可证件；建立信息档案；公开有关信息。</w:t>
            </w:r>
          </w:p>
          <w:p w14:paraId="64C98BD3">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5.</w:t>
            </w:r>
            <w:r>
              <w:rPr>
                <w:rFonts w:hint="eastAsia" w:ascii="仿宋_GB2312" w:hAnsi="仿宋_GB2312" w:eastAsia="仿宋_GB2312" w:cs="仿宋_GB2312"/>
                <w:color w:val="FF0000"/>
                <w:kern w:val="0"/>
                <w:sz w:val="18"/>
                <w:szCs w:val="18"/>
              </w:rPr>
              <w:t>事中事后责任：建立健全事中事后监管措施，加强监管。</w:t>
            </w:r>
          </w:p>
          <w:p w14:paraId="1EF6996E">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6.</w:t>
            </w:r>
            <w:r>
              <w:rPr>
                <w:rFonts w:hint="eastAsia" w:ascii="仿宋_GB2312" w:hAnsi="仿宋_GB2312" w:eastAsia="仿宋_GB2312" w:cs="仿宋_GB2312"/>
                <w:color w:val="FF0000"/>
                <w:kern w:val="0"/>
                <w:sz w:val="18"/>
                <w:szCs w:val="18"/>
              </w:rPr>
              <w:t>法律法规规章文件规定应履行的其他责任。</w:t>
            </w:r>
          </w:p>
          <w:p w14:paraId="62B399B3">
            <w:pPr>
              <w:widowControl/>
              <w:spacing w:line="240" w:lineRule="exact"/>
              <w:jc w:val="left"/>
              <w:textAlignment w:val="center"/>
              <w:rPr>
                <w:rFonts w:hint="eastAsia" w:ascii="仿宋_GB2312" w:hAnsi="仿宋_GB2312" w:eastAsia="仿宋_GB2312" w:cs="仿宋_GB2312"/>
                <w:color w:val="FF0000"/>
                <w:kern w:val="0"/>
                <w:sz w:val="18"/>
                <w:szCs w:val="18"/>
              </w:rPr>
            </w:pPr>
          </w:p>
          <w:p w14:paraId="7BB0799E">
            <w:pPr>
              <w:widowControl/>
              <w:spacing w:line="240" w:lineRule="exact"/>
              <w:jc w:val="left"/>
              <w:textAlignment w:val="center"/>
              <w:rPr>
                <w:rFonts w:hint="eastAsia" w:ascii="仿宋_GB2312" w:hAnsi="仿宋_GB2312" w:eastAsia="仿宋_GB2312" w:cs="仿宋_GB2312"/>
                <w:color w:val="FF0000"/>
                <w:kern w:val="0"/>
                <w:sz w:val="18"/>
                <w:szCs w:val="18"/>
              </w:rPr>
            </w:pPr>
          </w:p>
        </w:tc>
        <w:tc>
          <w:tcPr>
            <w:tcW w:w="2864" w:type="dxa"/>
            <w:tcBorders>
              <w:tl2br w:val="nil"/>
              <w:tr2bl w:val="nil"/>
            </w:tcBorders>
            <w:shd w:val="clear" w:color="auto" w:fill="auto"/>
            <w:vAlign w:val="center"/>
          </w:tcPr>
          <w:p w14:paraId="683F375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1.</w:t>
            </w:r>
            <w:r>
              <w:rPr>
                <w:rFonts w:hint="eastAsia" w:ascii="仿宋_GB2312" w:hAnsi="仿宋_GB2312" w:eastAsia="仿宋_GB2312" w:cs="仿宋_GB2312"/>
                <w:color w:val="FF0000"/>
                <w:kern w:val="0"/>
                <w:sz w:val="18"/>
                <w:szCs w:val="18"/>
              </w:rPr>
              <w:t>对符合法定条件的行政许可申请不予受理；</w:t>
            </w:r>
          </w:p>
          <w:p w14:paraId="76B7A7E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2.</w:t>
            </w:r>
            <w:r>
              <w:rPr>
                <w:rFonts w:hint="eastAsia" w:ascii="仿宋_GB2312" w:hAnsi="仿宋_GB2312" w:eastAsia="仿宋_GB2312" w:cs="仿宋_GB2312"/>
                <w:color w:val="FF0000"/>
                <w:kern w:val="0"/>
                <w:sz w:val="18"/>
                <w:szCs w:val="18"/>
              </w:rPr>
              <w:t>不在办公场所公示依法应当公示的材料；</w:t>
            </w:r>
          </w:p>
          <w:p w14:paraId="36AD61C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3.</w:t>
            </w:r>
            <w:r>
              <w:rPr>
                <w:rFonts w:hint="eastAsia" w:ascii="仿宋_GB2312" w:hAnsi="仿宋_GB2312" w:eastAsia="仿宋_GB2312" w:cs="仿宋_GB2312"/>
                <w:color w:val="FF0000"/>
                <w:kern w:val="0"/>
                <w:sz w:val="18"/>
                <w:szCs w:val="18"/>
              </w:rPr>
              <w:t>申请人提交的申请材料不齐全、不符合法定形式，不一次告知申请人必须补正的全部内容；</w:t>
            </w:r>
          </w:p>
          <w:p w14:paraId="6C9397A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4.</w:t>
            </w:r>
            <w:r>
              <w:rPr>
                <w:rFonts w:hint="eastAsia" w:ascii="仿宋_GB2312" w:hAnsi="仿宋_GB2312" w:eastAsia="仿宋_GB2312" w:cs="仿宋_GB2312"/>
                <w:color w:val="FF0000"/>
                <w:kern w:val="0"/>
                <w:sz w:val="18"/>
                <w:szCs w:val="18"/>
              </w:rPr>
              <w:t>未依法说明不受理行政许可申请或者不予行政许可的理由；</w:t>
            </w:r>
          </w:p>
          <w:p w14:paraId="66E1728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5.</w:t>
            </w:r>
            <w:r>
              <w:rPr>
                <w:rFonts w:hint="eastAsia" w:ascii="仿宋_GB2312" w:hAnsi="仿宋_GB2312" w:eastAsia="仿宋_GB2312" w:cs="仿宋_GB2312"/>
                <w:color w:val="FF0000"/>
                <w:kern w:val="0"/>
                <w:sz w:val="18"/>
                <w:szCs w:val="18"/>
              </w:rPr>
              <w:t>对不符合法定条件的申请人准予行政许可或者超越法定职权作出准予行政许可决定的；</w:t>
            </w:r>
          </w:p>
          <w:p w14:paraId="43D2C41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6.</w:t>
            </w:r>
            <w:r>
              <w:rPr>
                <w:rFonts w:hint="eastAsia" w:ascii="仿宋_GB2312" w:hAnsi="仿宋_GB2312" w:eastAsia="仿宋_GB2312" w:cs="仿宋_GB2312"/>
                <w:color w:val="FF0000"/>
                <w:kern w:val="0"/>
                <w:sz w:val="18"/>
                <w:szCs w:val="18"/>
              </w:rPr>
              <w:t>对符合法定条件的申请人不予行政许可或者不在法定期限内作出准予行政许可决定的；</w:t>
            </w:r>
          </w:p>
          <w:p w14:paraId="073C21B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7.</w:t>
            </w:r>
            <w:r>
              <w:rPr>
                <w:rFonts w:hint="eastAsia" w:ascii="仿宋_GB2312" w:hAnsi="仿宋_GB2312" w:eastAsia="仿宋_GB2312" w:cs="仿宋_GB2312"/>
                <w:color w:val="FF0000"/>
                <w:kern w:val="0"/>
                <w:sz w:val="18"/>
                <w:szCs w:val="18"/>
              </w:rPr>
              <w:t>不依法履行监督职责或者监督不力，造成严重后果；</w:t>
            </w:r>
          </w:p>
          <w:p w14:paraId="60BBB37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8.</w:t>
            </w:r>
            <w:r>
              <w:rPr>
                <w:rFonts w:hint="eastAsia" w:ascii="仿宋_GB2312" w:hAnsi="仿宋_GB2312" w:eastAsia="仿宋_GB2312" w:cs="仿宋_GB2312"/>
                <w:color w:val="FF0000"/>
                <w:kern w:val="0"/>
                <w:sz w:val="18"/>
                <w:szCs w:val="18"/>
              </w:rPr>
              <w:t>其他违法法律法规规章文件贵规定的行为。</w:t>
            </w:r>
          </w:p>
          <w:p w14:paraId="62CD697F">
            <w:pPr>
              <w:widowControl/>
              <w:spacing w:line="240" w:lineRule="exact"/>
              <w:jc w:val="left"/>
              <w:textAlignment w:val="center"/>
              <w:rPr>
                <w:rFonts w:hint="eastAsia" w:ascii="仿宋_GB2312" w:hAnsi="仿宋_GB2312" w:eastAsia="仿宋_GB2312" w:cs="仿宋_GB2312"/>
                <w:color w:val="FF0000"/>
                <w:kern w:val="0"/>
                <w:sz w:val="18"/>
                <w:szCs w:val="18"/>
              </w:rPr>
            </w:pPr>
          </w:p>
        </w:tc>
        <w:tc>
          <w:tcPr>
            <w:tcW w:w="596" w:type="dxa"/>
            <w:tcBorders>
              <w:tl2br w:val="nil"/>
              <w:tr2bl w:val="nil"/>
            </w:tcBorders>
            <w:shd w:val="clear" w:color="auto" w:fill="auto"/>
            <w:tcMar>
              <w:top w:w="0" w:type="dxa"/>
              <w:left w:w="0" w:type="dxa"/>
              <w:bottom w:w="0" w:type="dxa"/>
              <w:right w:w="0" w:type="dxa"/>
            </w:tcMar>
            <w:vAlign w:val="center"/>
          </w:tcPr>
          <w:p w14:paraId="6960178C">
            <w:pPr>
              <w:widowControl/>
              <w:spacing w:line="240" w:lineRule="exact"/>
              <w:jc w:val="left"/>
              <w:textAlignment w:val="center"/>
              <w:rPr>
                <w:rFonts w:hint="eastAsia" w:ascii="仿宋_GB2312" w:hAnsi="仿宋_GB2312" w:eastAsia="仿宋_GB2312" w:cs="仿宋_GB2312"/>
                <w:color w:val="000000"/>
                <w:kern w:val="0"/>
                <w:sz w:val="18"/>
                <w:szCs w:val="18"/>
              </w:rPr>
            </w:pPr>
          </w:p>
        </w:tc>
      </w:tr>
      <w:tr w14:paraId="060F9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l2br w:val="nil"/>
              <w:tr2bl w:val="nil"/>
            </w:tcBorders>
            <w:shd w:val="clear" w:color="auto" w:fill="auto"/>
            <w:vAlign w:val="center"/>
          </w:tcPr>
          <w:p w14:paraId="5254C252">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5</w:t>
            </w:r>
          </w:p>
        </w:tc>
        <w:tc>
          <w:tcPr>
            <w:tcW w:w="850" w:type="dxa"/>
            <w:tcBorders>
              <w:tl2br w:val="nil"/>
              <w:tr2bl w:val="nil"/>
            </w:tcBorders>
            <w:shd w:val="clear" w:color="auto" w:fill="auto"/>
            <w:vAlign w:val="center"/>
          </w:tcPr>
          <w:p w14:paraId="1A7AFDF0">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行政许可</w:t>
            </w:r>
          </w:p>
        </w:tc>
        <w:tc>
          <w:tcPr>
            <w:tcW w:w="1134" w:type="dxa"/>
            <w:tcBorders>
              <w:tl2br w:val="nil"/>
              <w:tr2bl w:val="nil"/>
            </w:tcBorders>
            <w:shd w:val="clear" w:color="auto" w:fill="auto"/>
            <w:vAlign w:val="center"/>
          </w:tcPr>
          <w:p w14:paraId="251B527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历史建筑外部修缮装饰、添加设施以及改变历史建筑的结构或者使用性质审批</w:t>
            </w:r>
          </w:p>
        </w:tc>
        <w:tc>
          <w:tcPr>
            <w:tcW w:w="3118" w:type="dxa"/>
            <w:tcBorders>
              <w:tl2br w:val="nil"/>
              <w:tr2bl w:val="nil"/>
            </w:tcBorders>
            <w:shd w:val="clear" w:color="auto" w:fill="auto"/>
            <w:vAlign w:val="center"/>
          </w:tcPr>
          <w:p w14:paraId="60F6A2C5">
            <w:pPr>
              <w:widowControl/>
              <w:spacing w:line="240" w:lineRule="exact"/>
              <w:jc w:val="left"/>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《秦皇岛市山海关古城保护条例》</w:t>
            </w:r>
          </w:p>
          <w:p w14:paraId="2F1EA82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第十六条 区人民政府应当依法明确历史建筑的保护责任人。保护责任人应当按照要求负责历史建筑的维护和修缮，市、区人民政府可以给予资金补助。历史建筑有损毁危险，保护责任人不具备维护和修缮能力的，区人民政府应当采取措施进行保护。</w:t>
            </w:r>
          </w:p>
          <w:p w14:paraId="0098896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历史建筑应当按照保护规划和保护图则的要求进行维护和修缮，不得改变主要立面、结构体系、基本平面布局、建筑高度和有特色的内部装饰。对历史建筑进行外部修缮装饰、添加设施、结构加固或者改变使用性质的，由区住建主管部门会同区文物主管部门批准，并按照有关法律法规规定办理相关手续。</w:t>
            </w:r>
          </w:p>
          <w:p w14:paraId="7C974BA0">
            <w:pPr>
              <w:widowControl/>
              <w:spacing w:line="240" w:lineRule="exact"/>
              <w:jc w:val="left"/>
              <w:textAlignment w:val="center"/>
              <w:rPr>
                <w:rFonts w:hint="eastAsia" w:ascii="仿宋_GB2312" w:hAnsi="仿宋_GB2312" w:eastAsia="仿宋_GB2312" w:cs="仿宋_GB2312"/>
                <w:color w:val="FF0000"/>
                <w:kern w:val="0"/>
                <w:sz w:val="18"/>
                <w:szCs w:val="18"/>
              </w:rPr>
            </w:pPr>
          </w:p>
        </w:tc>
        <w:tc>
          <w:tcPr>
            <w:tcW w:w="1305" w:type="dxa"/>
            <w:tcBorders>
              <w:tl2br w:val="nil"/>
              <w:tr2bl w:val="nil"/>
            </w:tcBorders>
            <w:shd w:val="clear" w:color="auto" w:fill="auto"/>
            <w:vAlign w:val="center"/>
          </w:tcPr>
          <w:p w14:paraId="57E6A6E5">
            <w:pPr>
              <w:widowControl/>
              <w:spacing w:line="240" w:lineRule="exact"/>
              <w:jc w:val="center"/>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eastAsia="zh-CN"/>
              </w:rPr>
              <w:t>山海关区住建局</w:t>
            </w:r>
          </w:p>
        </w:tc>
        <w:tc>
          <w:tcPr>
            <w:tcW w:w="3798" w:type="dxa"/>
            <w:tcBorders>
              <w:tl2br w:val="nil"/>
              <w:tr2bl w:val="nil"/>
            </w:tcBorders>
            <w:shd w:val="clear" w:color="auto" w:fill="auto"/>
            <w:vAlign w:val="center"/>
          </w:tcPr>
          <w:p w14:paraId="2FC9281D">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2.审查环节责任：对申请人提交的备案材料进行审查，符合备案条件的，予以备案，不符合条件的，不予以备案，并告知理由。</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3.备案环节责任：符合条件应及时办理告知手续。</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4.监管环节责任：采取法律法规规定的各种形式加强备案后续监管。</w:t>
            </w:r>
          </w:p>
          <w:p w14:paraId="425C5A42">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5.其他法律法规规章规定的应履行的责任。</w:t>
            </w:r>
          </w:p>
        </w:tc>
        <w:tc>
          <w:tcPr>
            <w:tcW w:w="2864" w:type="dxa"/>
            <w:tcBorders>
              <w:tl2br w:val="nil"/>
              <w:tr2bl w:val="nil"/>
            </w:tcBorders>
            <w:shd w:val="clear" w:color="auto" w:fill="auto"/>
            <w:vAlign w:val="center"/>
          </w:tcPr>
          <w:p w14:paraId="2C2BCA2D">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因不履行或不正确履行行政职责，有下列情形的，行政机关及相关工作人员应承担相应责任：</w:t>
            </w:r>
          </w:p>
          <w:p w14:paraId="25C7D21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1.不在办公场所公示依法应当公示的材料的。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2.符合申报条件不予受理、不予办理的。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3.不符合申报条件予以受理、办理的。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4.执法人员玩忽职守、滥用职权、循私舞弊的。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5.其他违反法律法规规章规定的行为。</w:t>
            </w:r>
          </w:p>
        </w:tc>
        <w:tc>
          <w:tcPr>
            <w:tcW w:w="596" w:type="dxa"/>
            <w:tcBorders>
              <w:tl2br w:val="nil"/>
              <w:tr2bl w:val="nil"/>
            </w:tcBorders>
            <w:shd w:val="clear" w:color="auto" w:fill="auto"/>
            <w:tcMar>
              <w:top w:w="0" w:type="dxa"/>
              <w:left w:w="0" w:type="dxa"/>
              <w:bottom w:w="0" w:type="dxa"/>
              <w:right w:w="0" w:type="dxa"/>
            </w:tcMar>
            <w:vAlign w:val="center"/>
          </w:tcPr>
          <w:p w14:paraId="15B523FB">
            <w:pPr>
              <w:widowControl/>
              <w:spacing w:line="240" w:lineRule="exact"/>
              <w:jc w:val="left"/>
              <w:textAlignment w:val="center"/>
              <w:rPr>
                <w:rFonts w:hint="eastAsia" w:ascii="仿宋_GB2312" w:hAnsi="仿宋_GB2312" w:eastAsia="仿宋_GB2312" w:cs="仿宋_GB2312"/>
                <w:color w:val="000000"/>
                <w:kern w:val="0"/>
                <w:sz w:val="18"/>
                <w:szCs w:val="18"/>
              </w:rPr>
            </w:pPr>
          </w:p>
        </w:tc>
      </w:tr>
      <w:tr w14:paraId="5F23E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39" w:type="dxa"/>
            <w:tcBorders>
              <w:tl2br w:val="nil"/>
              <w:tr2bl w:val="nil"/>
            </w:tcBorders>
            <w:shd w:val="clear" w:color="auto" w:fill="auto"/>
            <w:vAlign w:val="center"/>
          </w:tcPr>
          <w:p w14:paraId="0C522AEE">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6</w:t>
            </w:r>
          </w:p>
        </w:tc>
        <w:tc>
          <w:tcPr>
            <w:tcW w:w="850" w:type="dxa"/>
            <w:tcBorders>
              <w:tl2br w:val="nil"/>
              <w:tr2bl w:val="nil"/>
            </w:tcBorders>
            <w:shd w:val="clear" w:color="auto" w:fill="auto"/>
            <w:vAlign w:val="center"/>
          </w:tcPr>
          <w:p w14:paraId="08D37F0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行政许可</w:t>
            </w:r>
          </w:p>
        </w:tc>
        <w:tc>
          <w:tcPr>
            <w:tcW w:w="1134" w:type="dxa"/>
            <w:tcBorders>
              <w:tl2br w:val="nil"/>
              <w:tr2bl w:val="nil"/>
            </w:tcBorders>
            <w:shd w:val="clear" w:color="auto" w:fill="auto"/>
            <w:vAlign w:val="center"/>
          </w:tcPr>
          <w:p w14:paraId="2E3D6226">
            <w:pPr>
              <w:widowControl/>
              <w:spacing w:line="240" w:lineRule="exact"/>
              <w:jc w:val="left"/>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地名命名许可</w:t>
            </w:r>
          </w:p>
        </w:tc>
        <w:tc>
          <w:tcPr>
            <w:tcW w:w="3118" w:type="dxa"/>
            <w:tcBorders>
              <w:tl2br w:val="nil"/>
              <w:tr2bl w:val="nil"/>
            </w:tcBorders>
            <w:shd w:val="clear" w:color="auto" w:fill="auto"/>
            <w:vAlign w:val="center"/>
          </w:tcPr>
          <w:p w14:paraId="13DAAACB">
            <w:pPr>
              <w:widowControl/>
              <w:spacing w:line="240" w:lineRule="exact"/>
              <w:jc w:val="left"/>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rPr>
              <w:t>第十二条　批准地名命名、更名应当遵循下列规定：</w:t>
            </w:r>
            <w:r>
              <w:rPr>
                <w:rFonts w:hint="eastAsia" w:ascii="仿宋_GB2312" w:hAnsi="仿宋_GB2312" w:eastAsia="仿宋_GB2312" w:cs="仿宋_GB2312"/>
                <w:color w:val="FF0000"/>
                <w:kern w:val="0"/>
                <w:sz w:val="18"/>
                <w:szCs w:val="18"/>
                <w:lang w:eastAsia="zh-CN"/>
              </w:rPr>
              <w:t>第（六）款具有重要地理方位意义的住宅区、楼宇的命名、更名，由直辖市、市、县人民政府住房和城乡建设主管部门征求同级人民政府地名行政主管部门的意见后批准;</w:t>
            </w:r>
          </w:p>
        </w:tc>
        <w:tc>
          <w:tcPr>
            <w:tcW w:w="1305" w:type="dxa"/>
            <w:tcBorders>
              <w:tl2br w:val="nil"/>
              <w:tr2bl w:val="nil"/>
            </w:tcBorders>
            <w:shd w:val="clear" w:color="auto" w:fill="auto"/>
            <w:vAlign w:val="center"/>
          </w:tcPr>
          <w:p w14:paraId="5924414B">
            <w:pPr>
              <w:widowControl/>
              <w:spacing w:line="240" w:lineRule="exact"/>
              <w:jc w:val="center"/>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eastAsia="zh-CN"/>
              </w:rPr>
              <w:t>山海关区住建局</w:t>
            </w:r>
          </w:p>
        </w:tc>
        <w:tc>
          <w:tcPr>
            <w:tcW w:w="3798" w:type="dxa"/>
            <w:tcBorders>
              <w:tl2br w:val="nil"/>
              <w:tr2bl w:val="nil"/>
            </w:tcBorders>
            <w:shd w:val="clear" w:color="auto" w:fill="auto"/>
            <w:vAlign w:val="center"/>
          </w:tcPr>
          <w:p w14:paraId="10D9DA2B">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2.审查环节责任：对申请人提交的备案材料进行审查，符合备案条件的，予以备案，不符合条件的，不予以备案，并告知理由。</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3.备案环节责任：符合条件应及时办理告知手续。</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4.监管环节责任：采取法律法规规定的各种形式加强备案后续监管。</w:t>
            </w:r>
          </w:p>
          <w:p w14:paraId="69CDEBB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5.其他法律法规规章规定的应履行的责任。</w:t>
            </w:r>
          </w:p>
        </w:tc>
        <w:tc>
          <w:tcPr>
            <w:tcW w:w="2864" w:type="dxa"/>
            <w:tcBorders>
              <w:tl2br w:val="nil"/>
              <w:tr2bl w:val="nil"/>
            </w:tcBorders>
            <w:shd w:val="clear" w:color="auto" w:fill="auto"/>
            <w:vAlign w:val="center"/>
          </w:tcPr>
          <w:p w14:paraId="652E225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因不履行或不正确履行行政职责，有下列情形的，行政机关及相关工作人员应承担相应责任：</w:t>
            </w:r>
          </w:p>
          <w:p w14:paraId="3C6D9989">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1.不在办公场所公示依法应当公示的材料的。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2.符合申报条件不予受理、不予办理的。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3.不符合申报条件予以受理、办理的。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4.执法人员玩忽职守、滥用职权、循私舞弊的。</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FF0000"/>
                <w:kern w:val="0"/>
                <w:sz w:val="18"/>
                <w:szCs w:val="18"/>
              </w:rPr>
              <w:t>5.其他违反法律法规规章规定的行为。</w:t>
            </w:r>
          </w:p>
        </w:tc>
        <w:tc>
          <w:tcPr>
            <w:tcW w:w="596" w:type="dxa"/>
            <w:tcBorders>
              <w:tl2br w:val="nil"/>
              <w:tr2bl w:val="nil"/>
            </w:tcBorders>
            <w:shd w:val="clear" w:color="auto" w:fill="auto"/>
            <w:tcMar>
              <w:top w:w="0" w:type="dxa"/>
              <w:left w:w="0" w:type="dxa"/>
              <w:bottom w:w="0" w:type="dxa"/>
              <w:right w:w="0" w:type="dxa"/>
            </w:tcMar>
            <w:vAlign w:val="center"/>
          </w:tcPr>
          <w:p w14:paraId="2E796F30">
            <w:pPr>
              <w:widowControl/>
              <w:spacing w:line="240" w:lineRule="exact"/>
              <w:jc w:val="left"/>
              <w:textAlignment w:val="center"/>
              <w:rPr>
                <w:rFonts w:hint="eastAsia" w:ascii="仿宋_GB2312" w:hAnsi="仿宋_GB2312" w:eastAsia="仿宋_GB2312" w:cs="仿宋_GB2312"/>
                <w:color w:val="000000"/>
                <w:kern w:val="0"/>
                <w:sz w:val="18"/>
                <w:szCs w:val="18"/>
              </w:rPr>
            </w:pPr>
          </w:p>
        </w:tc>
      </w:tr>
    </w:tbl>
    <w:p w14:paraId="4CE95D69">
      <w:pPr>
        <w:spacing w:line="240" w:lineRule="exact"/>
        <w:rPr>
          <w:rFonts w:ascii="仿宋_GB2312" w:hAnsi="仿宋_GB2312" w:eastAsia="仿宋_GB2312" w:cs="仿宋_GB2312"/>
          <w:sz w:val="18"/>
          <w:szCs w:val="18"/>
        </w:rPr>
      </w:pPr>
    </w:p>
    <w:p w14:paraId="08CF2D1C">
      <w:pPr>
        <w:spacing w:line="240" w:lineRule="exact"/>
        <w:rPr>
          <w:rFonts w:ascii="仿宋_GB2312" w:hAnsi="仿宋_GB2312" w:eastAsia="仿宋_GB2312" w:cs="仿宋_GB2312"/>
          <w:sz w:val="18"/>
          <w:szCs w:val="18"/>
        </w:rPr>
      </w:pPr>
    </w:p>
    <w:p w14:paraId="4A3C929F">
      <w:pPr>
        <w:spacing w:line="240" w:lineRule="exact"/>
        <w:rPr>
          <w:rFonts w:ascii="仿宋_GB2312" w:hAnsi="仿宋_GB2312" w:eastAsia="仿宋_GB2312" w:cs="仿宋_GB2312"/>
          <w:sz w:val="18"/>
          <w:szCs w:val="18"/>
        </w:rPr>
      </w:pPr>
    </w:p>
    <w:p w14:paraId="49968959">
      <w:pPr>
        <w:spacing w:line="240" w:lineRule="exact"/>
        <w:rPr>
          <w:rFonts w:ascii="仿宋_GB2312" w:hAnsi="仿宋_GB2312" w:eastAsia="仿宋_GB2312" w:cs="仿宋_GB2312"/>
          <w:sz w:val="18"/>
          <w:szCs w:val="18"/>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E0ZGViNGFkYzdjNDkyMGNhY2RlNjBmMzEzNGE1NDUifQ=="/>
  </w:docVars>
  <w:rsids>
    <w:rsidRoot w:val="7E0E61AE"/>
    <w:rsid w:val="000A2A2E"/>
    <w:rsid w:val="002128E9"/>
    <w:rsid w:val="00A27C38"/>
    <w:rsid w:val="00C614D8"/>
    <w:rsid w:val="00CC138C"/>
    <w:rsid w:val="00CF42C8"/>
    <w:rsid w:val="00EA7E0C"/>
    <w:rsid w:val="0DEB7DD0"/>
    <w:rsid w:val="3801442C"/>
    <w:rsid w:val="72B91382"/>
    <w:rsid w:val="7C6316DE"/>
    <w:rsid w:val="7E0E6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font51"/>
    <w:basedOn w:val="4"/>
    <w:qFormat/>
    <w:uiPriority w:val="0"/>
    <w:rPr>
      <w:rFonts w:hint="eastAsia" w:ascii="仿宋_GB2312" w:eastAsia="仿宋_GB2312" w:cs="仿宋_GB2312"/>
      <w:color w:val="000000"/>
      <w:sz w:val="16"/>
      <w:szCs w:val="16"/>
      <w:u w:val="none"/>
    </w:rPr>
  </w:style>
  <w:style w:type="character" w:customStyle="1" w:styleId="7">
    <w:name w:val="font11"/>
    <w:basedOn w:val="4"/>
    <w:qFormat/>
    <w:uiPriority w:val="0"/>
    <w:rPr>
      <w:rFonts w:hint="eastAsia" w:ascii="仿宋_GB2312" w:eastAsia="仿宋_GB2312" w:cs="仿宋_GB2312"/>
      <w:color w:val="FF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0B41D17-F6E1-4EE9-8F6A-487705CBA928}">
  <ds:schemaRefs/>
</ds:datastoreItem>
</file>

<file path=docProps/app.xml><?xml version="1.0" encoding="utf-8"?>
<Properties xmlns="http://schemas.openxmlformats.org/officeDocument/2006/extended-properties" xmlns:vt="http://schemas.openxmlformats.org/officeDocument/2006/docPropsVTypes">
  <Template>Normal</Template>
  <Pages>6</Pages>
  <Words>4208</Words>
  <Characters>4296</Characters>
  <Lines>18</Lines>
  <Paragraphs>5</Paragraphs>
  <TotalTime>28</TotalTime>
  <ScaleCrop>false</ScaleCrop>
  <LinksUpToDate>false</LinksUpToDate>
  <CharactersWithSpaces>4307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2022-09-23T01:39:00Z</dcterms:created>
  <dc:creator>Administrator</dc:creator>
  <cp:lastModifiedBy>福禄寿喜财</cp:lastModifiedBy>
  <dcterms:modified xsi:type="dcterms:W3CDTF">2025-10-22T09:39:54Z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FEF68D42083C4274A491FB6103C547B2_12</vt:lpwstr>
  </property>
  <property fmtid="{D5CDD505-2E9C-101B-9397-08002B2CF9AE}" pid="4" name="KSOTemplateDocerSaveRecord">
    <vt:lpwstr>eyJoZGlkIjoiYTM5OTg0NTAwODVkYzQzNGY4ZWNhNjNiYjkyZmI0NGIiLCJ1c2VySWQiOiIxNzE3NjQ0MTg1In0=</vt:lpwstr>
  </property>
</Properties>
</file>