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2"/>
        <w:tblW w:w="14717"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
      <w:tblGrid>
        <w:gridCol w:w="544"/>
        <w:gridCol w:w="850"/>
        <w:gridCol w:w="1134"/>
        <w:gridCol w:w="3118"/>
        <w:gridCol w:w="1305"/>
        <w:gridCol w:w="3797"/>
        <w:gridCol w:w="3402"/>
        <w:gridCol w:w="567"/>
      </w:tblGrid>
      <w:tr w14:paraId="1C06062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567" w:hRule="atLeast"/>
          <w:tblHeader/>
        </w:trPr>
        <w:tc>
          <w:tcPr>
            <w:tcW w:w="544" w:type="dxa"/>
            <w:tcBorders>
              <w:tl2br w:val="nil"/>
              <w:tr2bl w:val="nil"/>
            </w:tcBorders>
            <w:shd w:val="clear" w:color="auto" w:fill="auto"/>
            <w:tcMar>
              <w:top w:w="15" w:type="dxa"/>
              <w:left w:w="0" w:type="dxa"/>
              <w:bottom w:w="15" w:type="dxa"/>
              <w:right w:w="0" w:type="dxa"/>
            </w:tcMar>
            <w:vAlign w:val="center"/>
          </w:tcPr>
          <w:p w14:paraId="5F64E360">
            <w:pPr>
              <w:widowControl/>
              <w:jc w:val="center"/>
              <w:textAlignment w:val="center"/>
              <w:rPr>
                <w:rFonts w:ascii="黑体" w:hAnsi="宋体" w:eastAsia="黑体" w:cs="黑体"/>
                <w:color w:val="000000"/>
                <w:sz w:val="24"/>
              </w:rPr>
            </w:pPr>
            <w:r>
              <w:rPr>
                <w:rFonts w:hint="eastAsia" w:ascii="黑体" w:hAnsi="宋体" w:eastAsia="黑体" w:cs="黑体"/>
                <w:color w:val="000000"/>
                <w:kern w:val="0"/>
                <w:sz w:val="24"/>
              </w:rPr>
              <w:t>序号</w:t>
            </w:r>
          </w:p>
        </w:tc>
        <w:tc>
          <w:tcPr>
            <w:tcW w:w="850" w:type="dxa"/>
            <w:tcBorders>
              <w:tl2br w:val="nil"/>
              <w:tr2bl w:val="nil"/>
            </w:tcBorders>
            <w:shd w:val="clear" w:color="auto" w:fill="auto"/>
            <w:vAlign w:val="center"/>
          </w:tcPr>
          <w:p w14:paraId="020A7EFA">
            <w:pPr>
              <w:widowControl/>
              <w:jc w:val="center"/>
              <w:textAlignment w:val="center"/>
              <w:rPr>
                <w:rFonts w:ascii="黑体" w:hAnsi="宋体" w:eastAsia="黑体" w:cs="黑体"/>
                <w:color w:val="000000"/>
                <w:kern w:val="0"/>
                <w:sz w:val="24"/>
              </w:rPr>
            </w:pPr>
            <w:r>
              <w:rPr>
                <w:rFonts w:hint="eastAsia" w:ascii="黑体" w:hAnsi="宋体" w:eastAsia="黑体" w:cs="黑体"/>
                <w:color w:val="000000"/>
                <w:kern w:val="0"/>
                <w:sz w:val="24"/>
              </w:rPr>
              <w:t>权力</w:t>
            </w:r>
          </w:p>
          <w:p w14:paraId="77E889C3">
            <w:pPr>
              <w:widowControl/>
              <w:jc w:val="center"/>
              <w:textAlignment w:val="center"/>
              <w:rPr>
                <w:rFonts w:ascii="黑体" w:hAnsi="宋体" w:eastAsia="黑体" w:cs="黑体"/>
                <w:color w:val="000000"/>
                <w:sz w:val="24"/>
              </w:rPr>
            </w:pPr>
            <w:r>
              <w:rPr>
                <w:rFonts w:hint="eastAsia" w:ascii="黑体" w:hAnsi="宋体" w:eastAsia="黑体" w:cs="黑体"/>
                <w:color w:val="000000"/>
                <w:kern w:val="0"/>
                <w:sz w:val="24"/>
              </w:rPr>
              <w:t>类型</w:t>
            </w:r>
          </w:p>
        </w:tc>
        <w:tc>
          <w:tcPr>
            <w:tcW w:w="1134" w:type="dxa"/>
            <w:tcBorders>
              <w:tl2br w:val="nil"/>
              <w:tr2bl w:val="nil"/>
            </w:tcBorders>
            <w:shd w:val="clear" w:color="auto" w:fill="auto"/>
            <w:vAlign w:val="center"/>
          </w:tcPr>
          <w:p w14:paraId="6E3ADE26">
            <w:pPr>
              <w:widowControl/>
              <w:jc w:val="center"/>
              <w:textAlignment w:val="center"/>
              <w:rPr>
                <w:rFonts w:ascii="黑体" w:hAnsi="宋体" w:eastAsia="黑体" w:cs="黑体"/>
                <w:color w:val="000000"/>
                <w:kern w:val="0"/>
                <w:sz w:val="24"/>
              </w:rPr>
            </w:pPr>
            <w:r>
              <w:rPr>
                <w:rFonts w:hint="eastAsia" w:ascii="黑体" w:hAnsi="宋体" w:eastAsia="黑体" w:cs="黑体"/>
                <w:color w:val="000000"/>
                <w:kern w:val="0"/>
                <w:sz w:val="24"/>
              </w:rPr>
              <w:t>权力</w:t>
            </w:r>
          </w:p>
          <w:p w14:paraId="2FF54B49">
            <w:pPr>
              <w:widowControl/>
              <w:jc w:val="center"/>
              <w:textAlignment w:val="center"/>
              <w:rPr>
                <w:rFonts w:ascii="黑体" w:hAnsi="宋体" w:eastAsia="黑体" w:cs="黑体"/>
                <w:color w:val="000000"/>
                <w:sz w:val="24"/>
              </w:rPr>
            </w:pPr>
            <w:r>
              <w:rPr>
                <w:rFonts w:hint="eastAsia" w:ascii="黑体" w:hAnsi="宋体" w:eastAsia="黑体" w:cs="黑体"/>
                <w:color w:val="000000"/>
                <w:kern w:val="0"/>
                <w:sz w:val="24"/>
              </w:rPr>
              <w:t>事项</w:t>
            </w:r>
          </w:p>
        </w:tc>
        <w:tc>
          <w:tcPr>
            <w:tcW w:w="3118" w:type="dxa"/>
            <w:tcBorders>
              <w:tl2br w:val="nil"/>
              <w:tr2bl w:val="nil"/>
            </w:tcBorders>
            <w:shd w:val="clear" w:color="auto" w:fill="auto"/>
            <w:vAlign w:val="center"/>
          </w:tcPr>
          <w:p w14:paraId="55D1A43F">
            <w:pPr>
              <w:widowControl/>
              <w:jc w:val="center"/>
              <w:textAlignment w:val="center"/>
              <w:rPr>
                <w:rFonts w:ascii="黑体" w:hAnsi="宋体" w:eastAsia="黑体" w:cs="黑体"/>
                <w:color w:val="000000"/>
                <w:sz w:val="24"/>
              </w:rPr>
            </w:pPr>
            <w:r>
              <w:rPr>
                <w:rFonts w:hint="eastAsia" w:ascii="黑体" w:hAnsi="宋体" w:eastAsia="黑体" w:cs="黑体"/>
                <w:color w:val="000000"/>
                <w:kern w:val="0"/>
                <w:sz w:val="24"/>
              </w:rPr>
              <w:t>实施依据</w:t>
            </w:r>
          </w:p>
        </w:tc>
        <w:tc>
          <w:tcPr>
            <w:tcW w:w="1305" w:type="dxa"/>
            <w:tcBorders>
              <w:tl2br w:val="nil"/>
              <w:tr2bl w:val="nil"/>
            </w:tcBorders>
            <w:shd w:val="clear" w:color="auto" w:fill="auto"/>
            <w:vAlign w:val="center"/>
          </w:tcPr>
          <w:p w14:paraId="55DB4BBF">
            <w:pPr>
              <w:widowControl/>
              <w:jc w:val="center"/>
              <w:textAlignment w:val="center"/>
              <w:rPr>
                <w:rFonts w:ascii="黑体" w:hAnsi="宋体" w:eastAsia="黑体" w:cs="黑体"/>
                <w:color w:val="000000"/>
                <w:sz w:val="24"/>
              </w:rPr>
            </w:pPr>
            <w:r>
              <w:rPr>
                <w:rFonts w:hint="eastAsia" w:ascii="黑体" w:hAnsi="宋体" w:eastAsia="黑体" w:cs="黑体"/>
                <w:color w:val="000000"/>
                <w:kern w:val="0"/>
                <w:sz w:val="24"/>
              </w:rPr>
              <w:t>行政主体</w:t>
            </w:r>
          </w:p>
        </w:tc>
        <w:tc>
          <w:tcPr>
            <w:tcW w:w="3797" w:type="dxa"/>
            <w:tcBorders>
              <w:tl2br w:val="nil"/>
              <w:tr2bl w:val="nil"/>
            </w:tcBorders>
            <w:shd w:val="clear" w:color="auto" w:fill="auto"/>
            <w:vAlign w:val="center"/>
          </w:tcPr>
          <w:p w14:paraId="7F34B8F0">
            <w:pPr>
              <w:widowControl/>
              <w:jc w:val="center"/>
              <w:textAlignment w:val="center"/>
              <w:rPr>
                <w:rFonts w:ascii="黑体" w:hAnsi="宋体" w:eastAsia="黑体" w:cs="黑体"/>
                <w:color w:val="000000"/>
                <w:sz w:val="24"/>
              </w:rPr>
            </w:pPr>
            <w:r>
              <w:rPr>
                <w:rFonts w:hint="eastAsia" w:ascii="黑体" w:hAnsi="宋体" w:eastAsia="黑体" w:cs="黑体"/>
                <w:color w:val="000000"/>
                <w:kern w:val="0"/>
                <w:sz w:val="24"/>
              </w:rPr>
              <w:t>责任事项</w:t>
            </w:r>
          </w:p>
        </w:tc>
        <w:tc>
          <w:tcPr>
            <w:tcW w:w="3402" w:type="dxa"/>
            <w:tcBorders>
              <w:tl2br w:val="nil"/>
              <w:tr2bl w:val="nil"/>
            </w:tcBorders>
            <w:shd w:val="clear" w:color="auto" w:fill="auto"/>
            <w:vAlign w:val="center"/>
          </w:tcPr>
          <w:p w14:paraId="21E7C8F7">
            <w:pPr>
              <w:widowControl/>
              <w:jc w:val="center"/>
              <w:textAlignment w:val="center"/>
              <w:rPr>
                <w:rFonts w:ascii="黑体" w:hAnsi="宋体" w:eastAsia="黑体" w:cs="黑体"/>
                <w:color w:val="000000"/>
                <w:sz w:val="24"/>
              </w:rPr>
            </w:pPr>
            <w:r>
              <w:rPr>
                <w:rFonts w:hint="eastAsia" w:ascii="黑体" w:hAnsi="宋体" w:eastAsia="黑体" w:cs="黑体"/>
                <w:color w:val="000000"/>
                <w:kern w:val="0"/>
                <w:sz w:val="24"/>
              </w:rPr>
              <w:t>追责情形</w:t>
            </w:r>
          </w:p>
        </w:tc>
        <w:tc>
          <w:tcPr>
            <w:tcW w:w="567" w:type="dxa"/>
            <w:tcBorders>
              <w:tl2br w:val="nil"/>
              <w:tr2bl w:val="nil"/>
            </w:tcBorders>
            <w:shd w:val="clear" w:color="auto" w:fill="auto"/>
            <w:vAlign w:val="center"/>
          </w:tcPr>
          <w:p w14:paraId="08A81E44">
            <w:pPr>
              <w:widowControl/>
              <w:jc w:val="center"/>
              <w:textAlignment w:val="center"/>
              <w:rPr>
                <w:rFonts w:ascii="黑体" w:hAnsi="宋体" w:eastAsia="黑体" w:cs="黑体"/>
                <w:color w:val="000000"/>
                <w:sz w:val="24"/>
              </w:rPr>
            </w:pPr>
            <w:r>
              <w:rPr>
                <w:rFonts w:hint="eastAsia" w:ascii="黑体" w:hAnsi="宋体" w:eastAsia="黑体" w:cs="黑体"/>
                <w:color w:val="000000"/>
                <w:kern w:val="0"/>
                <w:sz w:val="24"/>
              </w:rPr>
              <w:t>备注</w:t>
            </w:r>
          </w:p>
        </w:tc>
      </w:tr>
      <w:tr w14:paraId="760D02B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8957" w:hRule="atLeast"/>
        </w:trPr>
        <w:tc>
          <w:tcPr>
            <w:tcW w:w="544" w:type="dxa"/>
            <w:tcBorders>
              <w:tl2br w:val="nil"/>
              <w:tr2bl w:val="nil"/>
            </w:tcBorders>
            <w:shd w:val="clear" w:color="auto" w:fill="auto"/>
            <w:tcMar>
              <w:top w:w="15" w:type="dxa"/>
              <w:left w:w="0" w:type="dxa"/>
              <w:bottom w:w="15" w:type="dxa"/>
              <w:right w:w="0" w:type="dxa"/>
            </w:tcMar>
            <w:vAlign w:val="center"/>
          </w:tcPr>
          <w:p w14:paraId="14BEBCF7">
            <w:pPr>
              <w:widowControl/>
              <w:spacing w:line="240" w:lineRule="exact"/>
              <w:jc w:val="center"/>
              <w:textAlignment w:val="center"/>
              <w:rPr>
                <w:rFonts w:ascii="仿宋_GB2312" w:hAnsi="宋体" w:eastAsia="仿宋_GB2312" w:cs="仿宋_GB2312"/>
                <w:sz w:val="18"/>
                <w:szCs w:val="18"/>
              </w:rPr>
            </w:pPr>
            <w:r>
              <w:rPr>
                <w:rFonts w:hint="eastAsia" w:ascii="仿宋_GB2312" w:hAnsi="宋体" w:eastAsia="仿宋_GB2312" w:cs="仿宋_GB2312"/>
                <w:kern w:val="0"/>
                <w:sz w:val="18"/>
                <w:szCs w:val="18"/>
              </w:rPr>
              <w:t>1</w:t>
            </w:r>
          </w:p>
        </w:tc>
        <w:tc>
          <w:tcPr>
            <w:tcW w:w="850" w:type="dxa"/>
            <w:tcBorders>
              <w:tl2br w:val="nil"/>
              <w:tr2bl w:val="nil"/>
            </w:tcBorders>
            <w:shd w:val="clear" w:color="auto" w:fill="auto"/>
            <w:vAlign w:val="center"/>
          </w:tcPr>
          <w:p w14:paraId="382B374E">
            <w:pPr>
              <w:widowControl/>
              <w:spacing w:line="240" w:lineRule="exact"/>
              <w:jc w:val="center"/>
              <w:textAlignment w:val="center"/>
              <w:rPr>
                <w:rFonts w:ascii="仿宋_GB2312" w:hAnsi="宋体" w:eastAsia="仿宋_GB2312" w:cs="仿宋_GB2312"/>
                <w:sz w:val="18"/>
                <w:szCs w:val="18"/>
              </w:rPr>
            </w:pPr>
            <w:r>
              <w:rPr>
                <w:rFonts w:hint="eastAsia" w:ascii="仿宋_GB2312" w:hAnsi="宋体" w:eastAsia="仿宋_GB2312" w:cs="仿宋_GB2312"/>
                <w:kern w:val="0"/>
                <w:sz w:val="18"/>
                <w:szCs w:val="18"/>
              </w:rPr>
              <w:t>其他权力</w:t>
            </w:r>
          </w:p>
        </w:tc>
        <w:tc>
          <w:tcPr>
            <w:tcW w:w="1134" w:type="dxa"/>
            <w:tcBorders>
              <w:tl2br w:val="nil"/>
              <w:tr2bl w:val="nil"/>
            </w:tcBorders>
            <w:shd w:val="clear" w:color="auto" w:fill="auto"/>
            <w:vAlign w:val="center"/>
          </w:tcPr>
          <w:p w14:paraId="31840863">
            <w:pPr>
              <w:widowControl/>
              <w:spacing w:line="240" w:lineRule="exact"/>
              <w:jc w:val="left"/>
              <w:textAlignment w:val="center"/>
              <w:rPr>
                <w:rFonts w:ascii="仿宋_GB2312" w:hAnsi="宋体" w:eastAsia="仿宋_GB2312" w:cs="仿宋_GB2312"/>
                <w:sz w:val="18"/>
                <w:szCs w:val="18"/>
              </w:rPr>
            </w:pPr>
            <w:r>
              <w:rPr>
                <w:rFonts w:hint="eastAsia" w:ascii="仿宋_GB2312" w:hAnsi="宋体" w:eastAsia="仿宋_GB2312" w:cs="仿宋_GB2312"/>
                <w:kern w:val="0"/>
                <w:sz w:val="18"/>
                <w:szCs w:val="18"/>
              </w:rPr>
              <w:t>公租房租金收缴</w:t>
            </w:r>
          </w:p>
        </w:tc>
        <w:tc>
          <w:tcPr>
            <w:tcW w:w="3118" w:type="dxa"/>
            <w:tcBorders>
              <w:tl2br w:val="nil"/>
              <w:tr2bl w:val="nil"/>
            </w:tcBorders>
            <w:shd w:val="clear" w:color="auto" w:fill="auto"/>
            <w:vAlign w:val="center"/>
          </w:tcPr>
          <w:p w14:paraId="466AF0E5">
            <w:pPr>
              <w:widowControl/>
              <w:spacing w:line="240" w:lineRule="exact"/>
              <w:jc w:val="left"/>
              <w:textAlignment w:val="center"/>
              <w:rPr>
                <w:rFonts w:ascii="仿宋_GB2312" w:hAnsi="宋体" w:eastAsia="仿宋_GB2312" w:cs="仿宋_GB2312"/>
                <w:kern w:val="0"/>
                <w:sz w:val="18"/>
                <w:szCs w:val="18"/>
              </w:rPr>
            </w:pPr>
            <w:r>
              <w:rPr>
                <w:rFonts w:hint="eastAsia" w:ascii="仿宋_GB2312" w:hAnsi="宋体" w:eastAsia="仿宋_GB2312" w:cs="仿宋_GB2312"/>
                <w:kern w:val="0"/>
                <w:sz w:val="18"/>
                <w:szCs w:val="18"/>
              </w:rPr>
              <w:t>1.《河北省人民政府关于完善和落实城市住房保障制度切实解决低收入家庭住房问题的若干意见》（冀政[2007]95号）第八章第三十七条 各市、县（市）要整合房产管理部门现有事业机构编制资源，成立廉租住房和经济适用住房管理中心，作为非营利性事业机构具体负责廉租住房的购建、维修管理、租赁住房补贴发放、经济适用住房项目前期准备和销售代理等事宜。</w:t>
            </w:r>
          </w:p>
          <w:p w14:paraId="22A8A0B1">
            <w:pPr>
              <w:widowControl/>
              <w:spacing w:line="240" w:lineRule="exact"/>
              <w:jc w:val="left"/>
              <w:textAlignment w:val="center"/>
              <w:rPr>
                <w:rFonts w:ascii="仿宋_GB2312" w:hAnsi="宋体" w:eastAsia="仿宋_GB2312" w:cs="仿宋_GB2312"/>
                <w:sz w:val="18"/>
                <w:szCs w:val="18"/>
              </w:rPr>
            </w:pPr>
            <w:r>
              <w:rPr>
                <w:rFonts w:hint="eastAsia" w:ascii="仿宋_GB2312" w:hAnsi="宋体" w:eastAsia="仿宋_GB2312" w:cs="仿宋_GB2312"/>
                <w:kern w:val="0"/>
                <w:sz w:val="18"/>
                <w:szCs w:val="18"/>
              </w:rPr>
              <w:t>2.《河北省城镇住房保障办法（试行）》（河北省人民政府第6号令）第一章第7条  设区的市、县（市）住房保障部门主管本行政区域的城镇住房保障工作，其所属的城镇住房保障业务办理机构具体办理城镇住房保障事务。</w:t>
            </w:r>
          </w:p>
        </w:tc>
        <w:tc>
          <w:tcPr>
            <w:tcW w:w="1305" w:type="dxa"/>
            <w:tcBorders>
              <w:tl2br w:val="nil"/>
              <w:tr2bl w:val="nil"/>
            </w:tcBorders>
            <w:shd w:val="clear" w:color="auto" w:fill="auto"/>
            <w:vAlign w:val="center"/>
          </w:tcPr>
          <w:p w14:paraId="09B22EE1">
            <w:pPr>
              <w:widowControl/>
              <w:spacing w:line="240" w:lineRule="exact"/>
              <w:jc w:val="center"/>
              <w:textAlignment w:val="center"/>
              <w:rPr>
                <w:rFonts w:ascii="仿宋_GB2312" w:hAnsi="宋体" w:eastAsia="仿宋_GB2312" w:cs="仿宋_GB2312"/>
                <w:sz w:val="18"/>
                <w:szCs w:val="18"/>
              </w:rPr>
            </w:pPr>
            <w:r>
              <w:rPr>
                <w:rFonts w:hint="eastAsia" w:ascii="仿宋_GB2312" w:hAnsi="宋体" w:eastAsia="仿宋_GB2312" w:cs="仿宋_GB2312"/>
                <w:kern w:val="0"/>
                <w:sz w:val="18"/>
                <w:szCs w:val="18"/>
              </w:rPr>
              <w:t>山海关区住建局</w:t>
            </w:r>
          </w:p>
        </w:tc>
        <w:tc>
          <w:tcPr>
            <w:tcW w:w="3797" w:type="dxa"/>
            <w:tcBorders>
              <w:tl2br w:val="nil"/>
              <w:tr2bl w:val="nil"/>
            </w:tcBorders>
            <w:shd w:val="clear" w:color="auto" w:fill="auto"/>
            <w:vAlign w:val="center"/>
          </w:tcPr>
          <w:p w14:paraId="42922A3A">
            <w:pPr>
              <w:widowControl/>
              <w:spacing w:line="240" w:lineRule="exact"/>
              <w:jc w:val="left"/>
              <w:textAlignment w:val="center"/>
              <w:rPr>
                <w:rFonts w:ascii="仿宋_GB2312" w:hAnsi="宋体" w:eastAsia="仿宋_GB2312" w:cs="仿宋_GB2312"/>
                <w:kern w:val="0"/>
                <w:sz w:val="18"/>
                <w:szCs w:val="18"/>
              </w:rPr>
            </w:pPr>
          </w:p>
          <w:p w14:paraId="326458CD">
            <w:pPr>
              <w:widowControl/>
              <w:spacing w:line="240" w:lineRule="exact"/>
              <w:jc w:val="left"/>
              <w:textAlignment w:val="center"/>
              <w:rPr>
                <w:rFonts w:ascii="仿宋_GB2312" w:hAnsi="宋体" w:eastAsia="仿宋_GB2312" w:cs="仿宋_GB2312"/>
                <w:kern w:val="0"/>
                <w:sz w:val="18"/>
                <w:szCs w:val="18"/>
              </w:rPr>
            </w:pPr>
            <w:r>
              <w:rPr>
                <w:rFonts w:hint="eastAsia" w:ascii="仿宋_GB2312" w:hAnsi="宋体" w:eastAsia="仿宋_GB2312" w:cs="仿宋_GB2312"/>
                <w:kern w:val="0"/>
                <w:sz w:val="18"/>
                <w:szCs w:val="18"/>
              </w:rPr>
              <w:t>1.受理责任:公示依法应当公示的内容；向承租家庭说明租金收缴依据及计算方式。</w:t>
            </w:r>
          </w:p>
          <w:p w14:paraId="6DA91959">
            <w:pPr>
              <w:widowControl/>
              <w:spacing w:line="240" w:lineRule="exact"/>
              <w:jc w:val="left"/>
              <w:textAlignment w:val="center"/>
              <w:rPr>
                <w:rFonts w:ascii="仿宋_GB2312" w:hAnsi="宋体" w:eastAsia="仿宋_GB2312" w:cs="仿宋_GB2312"/>
                <w:kern w:val="0"/>
                <w:sz w:val="18"/>
                <w:szCs w:val="18"/>
              </w:rPr>
            </w:pPr>
            <w:r>
              <w:rPr>
                <w:rFonts w:hint="eastAsia" w:ascii="仿宋_GB2312" w:hAnsi="宋体" w:eastAsia="仿宋_GB2312" w:cs="仿宋_GB2312"/>
                <w:kern w:val="0"/>
                <w:sz w:val="18"/>
                <w:szCs w:val="18"/>
              </w:rPr>
              <w:t>2.监管责任:维护租赁双方的合法权益。</w:t>
            </w:r>
          </w:p>
          <w:p w14:paraId="6292DD9D">
            <w:pPr>
              <w:widowControl/>
              <w:spacing w:line="240" w:lineRule="exact"/>
              <w:jc w:val="left"/>
              <w:textAlignment w:val="center"/>
              <w:rPr>
                <w:rFonts w:ascii="仿宋_GB2312" w:hAnsi="宋体" w:eastAsia="仿宋_GB2312" w:cs="仿宋_GB2312"/>
                <w:kern w:val="0"/>
                <w:sz w:val="18"/>
                <w:szCs w:val="18"/>
              </w:rPr>
            </w:pPr>
            <w:r>
              <w:rPr>
                <w:rFonts w:hint="eastAsia" w:ascii="仿宋_GB2312" w:hAnsi="宋体" w:eastAsia="仿宋_GB2312" w:cs="仿宋_GB2312"/>
                <w:kern w:val="0"/>
                <w:sz w:val="18"/>
                <w:szCs w:val="18"/>
              </w:rPr>
              <w:t>3.其他法律法规规章规定应履行的责任。</w:t>
            </w:r>
          </w:p>
          <w:p w14:paraId="20DAF7C1">
            <w:pPr>
              <w:widowControl/>
              <w:spacing w:line="240" w:lineRule="exact"/>
              <w:jc w:val="left"/>
              <w:textAlignment w:val="center"/>
              <w:rPr>
                <w:rFonts w:ascii="仿宋_GB2312" w:hAnsi="宋体" w:eastAsia="仿宋_GB2312" w:cs="仿宋_GB2312"/>
                <w:sz w:val="18"/>
                <w:szCs w:val="18"/>
              </w:rPr>
            </w:pPr>
          </w:p>
        </w:tc>
        <w:tc>
          <w:tcPr>
            <w:tcW w:w="3402" w:type="dxa"/>
            <w:tcBorders>
              <w:tl2br w:val="nil"/>
              <w:tr2bl w:val="nil"/>
            </w:tcBorders>
            <w:shd w:val="clear" w:color="auto" w:fill="auto"/>
            <w:vAlign w:val="center"/>
          </w:tcPr>
          <w:p w14:paraId="0CB2AD79">
            <w:pPr>
              <w:widowControl/>
              <w:spacing w:line="240" w:lineRule="exact"/>
              <w:jc w:val="left"/>
              <w:textAlignment w:val="center"/>
              <w:rPr>
                <w:rFonts w:ascii="仿宋_GB2312" w:hAnsi="宋体" w:eastAsia="仿宋_GB2312" w:cs="仿宋_GB2312"/>
                <w:kern w:val="0"/>
                <w:sz w:val="18"/>
                <w:szCs w:val="18"/>
              </w:rPr>
            </w:pPr>
            <w:r>
              <w:rPr>
                <w:rFonts w:hint="eastAsia" w:ascii="仿宋_GB2312" w:hAnsi="宋体" w:eastAsia="仿宋_GB2312" w:cs="仿宋_GB2312"/>
                <w:kern w:val="0"/>
                <w:sz w:val="18"/>
                <w:szCs w:val="18"/>
              </w:rPr>
              <w:t>因不履行或不正确履行行政职责，有下列情形的，行政机关及相关工作人员应承担相应责任：</w:t>
            </w:r>
          </w:p>
          <w:p w14:paraId="342C84AA">
            <w:pPr>
              <w:widowControl/>
              <w:spacing w:line="240" w:lineRule="exact"/>
              <w:jc w:val="left"/>
              <w:textAlignment w:val="center"/>
              <w:rPr>
                <w:rFonts w:ascii="仿宋_GB2312" w:hAnsi="宋体" w:eastAsia="仿宋_GB2312" w:cs="仿宋_GB2312"/>
                <w:kern w:val="0"/>
                <w:sz w:val="18"/>
                <w:szCs w:val="18"/>
              </w:rPr>
            </w:pPr>
            <w:r>
              <w:rPr>
                <w:rFonts w:hint="eastAsia" w:ascii="仿宋_GB2312" w:hAnsi="宋体" w:eastAsia="仿宋_GB2312" w:cs="仿宋_GB2312"/>
                <w:kern w:val="0"/>
                <w:sz w:val="18"/>
                <w:szCs w:val="18"/>
              </w:rPr>
              <w:t>1.未按规定履行住房保障职责的；</w:t>
            </w:r>
          </w:p>
          <w:p w14:paraId="04E7ACA3">
            <w:pPr>
              <w:widowControl/>
              <w:spacing w:line="240" w:lineRule="exact"/>
              <w:jc w:val="left"/>
              <w:textAlignment w:val="center"/>
              <w:rPr>
                <w:rFonts w:ascii="仿宋_GB2312" w:hAnsi="宋体" w:eastAsia="仿宋_GB2312" w:cs="仿宋_GB2312"/>
                <w:kern w:val="0"/>
                <w:sz w:val="18"/>
                <w:szCs w:val="18"/>
              </w:rPr>
            </w:pPr>
            <w:r>
              <w:rPr>
                <w:rFonts w:hint="eastAsia" w:ascii="仿宋_GB2312" w:hAnsi="宋体" w:eastAsia="仿宋_GB2312" w:cs="仿宋_GB2312"/>
                <w:kern w:val="0"/>
                <w:sz w:val="18"/>
                <w:szCs w:val="18"/>
              </w:rPr>
              <w:t>2.其他玩忽职守、徇私舞弊、滥用职权的行为；</w:t>
            </w:r>
          </w:p>
          <w:p w14:paraId="02FFDC10">
            <w:pPr>
              <w:widowControl/>
              <w:spacing w:line="240" w:lineRule="exact"/>
              <w:jc w:val="left"/>
              <w:textAlignment w:val="center"/>
              <w:rPr>
                <w:rFonts w:ascii="仿宋_GB2312" w:hAnsi="宋体" w:eastAsia="仿宋_GB2312" w:cs="仿宋_GB2312"/>
                <w:kern w:val="0"/>
                <w:sz w:val="18"/>
                <w:szCs w:val="18"/>
              </w:rPr>
            </w:pPr>
            <w:r>
              <w:rPr>
                <w:rFonts w:hint="eastAsia" w:ascii="仿宋_GB2312" w:hAnsi="宋体" w:eastAsia="仿宋_GB2312" w:cs="仿宋_GB2312"/>
                <w:kern w:val="0"/>
                <w:sz w:val="18"/>
                <w:szCs w:val="18"/>
              </w:rPr>
              <w:t>3.其他违反法律法规规章文件规定的行为。</w:t>
            </w:r>
          </w:p>
        </w:tc>
        <w:tc>
          <w:tcPr>
            <w:tcW w:w="567" w:type="dxa"/>
            <w:tcBorders>
              <w:tl2br w:val="nil"/>
              <w:tr2bl w:val="nil"/>
            </w:tcBorders>
            <w:shd w:val="clear" w:color="auto" w:fill="auto"/>
            <w:vAlign w:val="center"/>
          </w:tcPr>
          <w:p w14:paraId="42922E8B">
            <w:pPr>
              <w:spacing w:line="240" w:lineRule="exact"/>
              <w:jc w:val="center"/>
              <w:rPr>
                <w:rFonts w:ascii="仿宋_GB2312" w:hAnsi="宋体" w:eastAsia="仿宋_GB2312" w:cs="仿宋_GB2312"/>
                <w:sz w:val="18"/>
                <w:szCs w:val="18"/>
              </w:rPr>
            </w:pPr>
          </w:p>
        </w:tc>
      </w:tr>
      <w:tr w14:paraId="1561132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8957" w:hRule="atLeast"/>
        </w:trPr>
        <w:tc>
          <w:tcPr>
            <w:tcW w:w="544" w:type="dxa"/>
            <w:tcBorders>
              <w:tl2br w:val="nil"/>
              <w:tr2bl w:val="nil"/>
            </w:tcBorders>
            <w:shd w:val="clear" w:color="auto" w:fill="auto"/>
            <w:tcMar>
              <w:top w:w="15" w:type="dxa"/>
              <w:left w:w="0" w:type="dxa"/>
              <w:bottom w:w="15" w:type="dxa"/>
              <w:right w:w="0" w:type="dxa"/>
            </w:tcMar>
            <w:vAlign w:val="center"/>
          </w:tcPr>
          <w:p w14:paraId="2B885E4B">
            <w:pPr>
              <w:widowControl/>
              <w:spacing w:line="240" w:lineRule="exact"/>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rPr>
              <w:t>2</w:t>
            </w:r>
          </w:p>
        </w:tc>
        <w:tc>
          <w:tcPr>
            <w:tcW w:w="850" w:type="dxa"/>
            <w:tcBorders>
              <w:tl2br w:val="nil"/>
              <w:tr2bl w:val="nil"/>
            </w:tcBorders>
            <w:shd w:val="clear" w:color="auto" w:fill="auto"/>
            <w:vAlign w:val="center"/>
          </w:tcPr>
          <w:p w14:paraId="28F3612E">
            <w:pPr>
              <w:widowControl/>
              <w:spacing w:line="240" w:lineRule="exact"/>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rPr>
              <w:t>其他权力</w:t>
            </w:r>
          </w:p>
        </w:tc>
        <w:tc>
          <w:tcPr>
            <w:tcW w:w="1134" w:type="dxa"/>
            <w:tcBorders>
              <w:tl2br w:val="nil"/>
              <w:tr2bl w:val="nil"/>
            </w:tcBorders>
            <w:shd w:val="clear" w:color="auto" w:fill="auto"/>
            <w:vAlign w:val="center"/>
          </w:tcPr>
          <w:p w14:paraId="1ED52120">
            <w:pPr>
              <w:widowControl/>
              <w:spacing w:line="240" w:lineRule="exact"/>
              <w:jc w:val="left"/>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rPr>
              <w:t>房屋交易资金监管</w:t>
            </w:r>
          </w:p>
        </w:tc>
        <w:tc>
          <w:tcPr>
            <w:tcW w:w="3118" w:type="dxa"/>
            <w:tcBorders>
              <w:tl2br w:val="nil"/>
              <w:tr2bl w:val="nil"/>
            </w:tcBorders>
            <w:shd w:val="clear" w:color="auto" w:fill="auto"/>
            <w:vAlign w:val="center"/>
          </w:tcPr>
          <w:p w14:paraId="0AE9958D">
            <w:pPr>
              <w:widowControl/>
              <w:spacing w:line="240" w:lineRule="exact"/>
              <w:jc w:val="left"/>
              <w:textAlignment w:val="center"/>
              <w:rPr>
                <w:rFonts w:ascii="仿宋_GB2312" w:hAnsi="宋体" w:eastAsia="仿宋_GB2312" w:cs="仿宋_GB2312"/>
                <w:color w:val="000000"/>
                <w:kern w:val="0"/>
                <w:sz w:val="18"/>
                <w:szCs w:val="18"/>
              </w:rPr>
            </w:pPr>
            <w:r>
              <w:rPr>
                <w:rFonts w:hint="eastAsia" w:ascii="仿宋_GB2312" w:hAnsi="宋体" w:eastAsia="仿宋_GB2312" w:cs="仿宋_GB2312"/>
                <w:color w:val="000000"/>
                <w:kern w:val="0"/>
                <w:sz w:val="18"/>
                <w:szCs w:val="18"/>
              </w:rPr>
              <w:t>1.《中华人民共和国城市房地产管理法》（中华人民共和国主席令第32号）第四十五条 商品房预售，商品房预售所得款项，必须用于有关工程建设；</w:t>
            </w:r>
          </w:p>
          <w:p w14:paraId="3393E837">
            <w:pPr>
              <w:widowControl/>
              <w:spacing w:line="240" w:lineRule="exact"/>
              <w:jc w:val="left"/>
              <w:textAlignment w:val="center"/>
              <w:rPr>
                <w:rFonts w:ascii="仿宋_GB2312" w:hAnsi="宋体" w:eastAsia="仿宋_GB2312" w:cs="仿宋_GB2312"/>
                <w:color w:val="000000"/>
                <w:kern w:val="0"/>
                <w:sz w:val="18"/>
                <w:szCs w:val="18"/>
              </w:rPr>
            </w:pPr>
            <w:r>
              <w:rPr>
                <w:rFonts w:hint="eastAsia" w:ascii="仿宋_GB2312" w:hAnsi="宋体" w:eastAsia="仿宋_GB2312" w:cs="仿宋_GB2312"/>
                <w:color w:val="000000"/>
                <w:kern w:val="0"/>
                <w:sz w:val="18"/>
                <w:szCs w:val="18"/>
              </w:rPr>
              <w:t>2.《城市商品房预售管理办法》（建设部令第131号）第十一条 开发企业预售商品房所得款项应当用于有关的工程建设。</w:t>
            </w:r>
          </w:p>
          <w:p w14:paraId="100C1ACB">
            <w:pPr>
              <w:widowControl/>
              <w:spacing w:line="240" w:lineRule="exact"/>
              <w:jc w:val="left"/>
              <w:textAlignment w:val="center"/>
              <w:rPr>
                <w:rFonts w:ascii="仿宋_GB2312" w:hAnsi="宋体" w:eastAsia="仿宋_GB2312" w:cs="仿宋_GB2312"/>
                <w:color w:val="000000"/>
                <w:kern w:val="0"/>
                <w:sz w:val="18"/>
                <w:szCs w:val="18"/>
              </w:rPr>
            </w:pPr>
            <w:r>
              <w:rPr>
                <w:rFonts w:hint="eastAsia" w:ascii="仿宋_GB2312" w:hAnsi="宋体" w:eastAsia="仿宋_GB2312" w:cs="仿宋_GB2312"/>
                <w:color w:val="000000"/>
                <w:kern w:val="0"/>
                <w:sz w:val="18"/>
                <w:szCs w:val="18"/>
              </w:rPr>
              <w:t>3.《住房城乡建设部关于进一步规范和加强房屋网签备案工作的指导意见》（建房〔2018〕128号）第十三条 严格落实商品房预售资金监管制度，预售资金全部纳入监管账户，保证建设工程竣工交付。</w:t>
            </w:r>
          </w:p>
          <w:p w14:paraId="1FDFBF9D">
            <w:pPr>
              <w:widowControl/>
              <w:spacing w:line="240" w:lineRule="exact"/>
              <w:jc w:val="left"/>
              <w:textAlignment w:val="center"/>
              <w:rPr>
                <w:rFonts w:ascii="仿宋_GB2312" w:hAnsi="宋体" w:eastAsia="仿宋_GB2312" w:cs="仿宋_GB2312"/>
                <w:color w:val="000000"/>
                <w:kern w:val="0"/>
                <w:sz w:val="18"/>
                <w:szCs w:val="18"/>
              </w:rPr>
            </w:pPr>
            <w:r>
              <w:rPr>
                <w:rFonts w:hint="eastAsia" w:ascii="仿宋_GB2312" w:hAnsi="宋体" w:eastAsia="仿宋_GB2312" w:cs="仿宋_GB2312"/>
                <w:color w:val="000000"/>
                <w:kern w:val="0"/>
                <w:sz w:val="18"/>
                <w:szCs w:val="18"/>
              </w:rPr>
              <w:t>4.住房和城乡建设部、人民银行、银保监会《关于规范商品房预售资金监管的意见》（建房〔2022〕16号）</w:t>
            </w:r>
          </w:p>
          <w:p w14:paraId="52447C20">
            <w:pPr>
              <w:widowControl/>
              <w:spacing w:line="240" w:lineRule="exact"/>
              <w:jc w:val="left"/>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rPr>
              <w:t>5.河北省住房和城乡建设厅《关于进一步加强商品房预售管理的通知》（冀建房市〔2019〕7号）</w:t>
            </w:r>
          </w:p>
        </w:tc>
        <w:tc>
          <w:tcPr>
            <w:tcW w:w="1305" w:type="dxa"/>
            <w:tcBorders>
              <w:tl2br w:val="nil"/>
              <w:tr2bl w:val="nil"/>
            </w:tcBorders>
            <w:shd w:val="clear" w:color="auto" w:fill="auto"/>
            <w:vAlign w:val="center"/>
          </w:tcPr>
          <w:p w14:paraId="51482D34">
            <w:pPr>
              <w:widowControl/>
              <w:spacing w:line="240" w:lineRule="exact"/>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rPr>
              <w:t>省住建厅</w:t>
            </w:r>
          </w:p>
        </w:tc>
        <w:tc>
          <w:tcPr>
            <w:tcW w:w="3797" w:type="dxa"/>
            <w:tcBorders>
              <w:tl2br w:val="nil"/>
              <w:tr2bl w:val="nil"/>
            </w:tcBorders>
            <w:shd w:val="clear" w:color="auto" w:fill="auto"/>
            <w:vAlign w:val="center"/>
          </w:tcPr>
          <w:p w14:paraId="3253DA34">
            <w:pPr>
              <w:widowControl/>
              <w:spacing w:line="240" w:lineRule="exact"/>
              <w:jc w:val="left"/>
              <w:textAlignment w:val="center"/>
              <w:rPr>
                <w:rFonts w:ascii="仿宋_GB2312" w:hAnsi="宋体" w:eastAsia="仿宋_GB2312" w:cs="仿宋_GB2312"/>
                <w:color w:val="000000"/>
                <w:kern w:val="0"/>
                <w:sz w:val="18"/>
                <w:szCs w:val="18"/>
              </w:rPr>
            </w:pPr>
          </w:p>
          <w:p w14:paraId="365B62BB">
            <w:pPr>
              <w:widowControl/>
              <w:spacing w:line="240" w:lineRule="exact"/>
              <w:jc w:val="left"/>
              <w:textAlignment w:val="center"/>
              <w:rPr>
                <w:rFonts w:ascii="仿宋_GB2312" w:hAnsi="宋体" w:eastAsia="仿宋_GB2312" w:cs="仿宋_GB2312"/>
                <w:color w:val="000000"/>
                <w:kern w:val="0"/>
                <w:sz w:val="18"/>
                <w:szCs w:val="18"/>
              </w:rPr>
            </w:pPr>
            <w:r>
              <w:rPr>
                <w:rFonts w:hint="eastAsia" w:ascii="仿宋_GB2312" w:hAnsi="宋体" w:eastAsia="仿宋_GB2312" w:cs="仿宋_GB2312"/>
                <w:color w:val="000000"/>
                <w:kern w:val="0"/>
                <w:sz w:val="18"/>
                <w:szCs w:val="18"/>
              </w:rPr>
              <w:t>1.公示环节责任：公示依法应当公示的内容；说明房屋交易资金监管的途径和方法。</w:t>
            </w:r>
          </w:p>
          <w:p w14:paraId="200213B5">
            <w:pPr>
              <w:widowControl/>
              <w:spacing w:line="240" w:lineRule="exact"/>
              <w:jc w:val="left"/>
              <w:textAlignment w:val="center"/>
              <w:rPr>
                <w:rFonts w:ascii="仿宋_GB2312" w:hAnsi="宋体" w:eastAsia="仿宋_GB2312" w:cs="仿宋_GB2312"/>
                <w:color w:val="000000"/>
                <w:kern w:val="0"/>
                <w:sz w:val="18"/>
                <w:szCs w:val="18"/>
              </w:rPr>
            </w:pPr>
            <w:r>
              <w:rPr>
                <w:rFonts w:hint="eastAsia" w:ascii="仿宋_GB2312" w:hAnsi="宋体" w:eastAsia="仿宋_GB2312" w:cs="仿宋_GB2312"/>
                <w:color w:val="000000"/>
                <w:kern w:val="0"/>
                <w:sz w:val="18"/>
                <w:szCs w:val="18"/>
              </w:rPr>
              <w:t>2.受理环节责任：对公示内容予以说明、解释；一次性告知需要补正的全部材料内容；应当与其他行政机关共享有关信息。</w:t>
            </w:r>
          </w:p>
          <w:p w14:paraId="209E7FA5">
            <w:pPr>
              <w:widowControl/>
              <w:spacing w:line="240" w:lineRule="exact"/>
              <w:jc w:val="left"/>
              <w:textAlignment w:val="center"/>
              <w:rPr>
                <w:rFonts w:ascii="仿宋_GB2312" w:hAnsi="宋体" w:eastAsia="仿宋_GB2312" w:cs="仿宋_GB2312"/>
                <w:color w:val="000000"/>
                <w:kern w:val="0"/>
                <w:sz w:val="18"/>
                <w:szCs w:val="18"/>
              </w:rPr>
            </w:pPr>
            <w:r>
              <w:rPr>
                <w:rFonts w:hint="eastAsia" w:ascii="仿宋_GB2312" w:hAnsi="宋体" w:eastAsia="仿宋_GB2312" w:cs="仿宋_GB2312"/>
                <w:color w:val="000000"/>
                <w:kern w:val="0"/>
                <w:sz w:val="18"/>
                <w:szCs w:val="18"/>
              </w:rPr>
              <w:t>3.审查环节责任：对申请材料的实质内容进行核实。</w:t>
            </w:r>
          </w:p>
          <w:p w14:paraId="0EFA2877">
            <w:pPr>
              <w:widowControl/>
              <w:spacing w:line="240" w:lineRule="exact"/>
              <w:jc w:val="left"/>
              <w:textAlignment w:val="center"/>
              <w:rPr>
                <w:rFonts w:ascii="仿宋_GB2312" w:hAnsi="宋体" w:eastAsia="仿宋_GB2312" w:cs="仿宋_GB2312"/>
                <w:color w:val="000000"/>
                <w:kern w:val="0"/>
                <w:sz w:val="18"/>
                <w:szCs w:val="18"/>
              </w:rPr>
            </w:pPr>
            <w:r>
              <w:rPr>
                <w:rFonts w:hint="eastAsia" w:ascii="仿宋_GB2312" w:hAnsi="宋体" w:eastAsia="仿宋_GB2312" w:cs="仿宋_GB2312"/>
                <w:color w:val="000000"/>
                <w:kern w:val="0"/>
                <w:sz w:val="18"/>
                <w:szCs w:val="18"/>
              </w:rPr>
              <w:t>4.送达环节责任：按照法定的途径和方式将相关文书在规定时间内送达开发企业（或委托代理人）；依据相关规定对监督结果予以公开，方便公众查阅。</w:t>
            </w:r>
          </w:p>
          <w:p w14:paraId="53ABC7F9">
            <w:pPr>
              <w:widowControl/>
              <w:spacing w:line="240" w:lineRule="exact"/>
              <w:jc w:val="left"/>
              <w:textAlignment w:val="center"/>
              <w:rPr>
                <w:rFonts w:ascii="仿宋_GB2312" w:hAnsi="宋体" w:eastAsia="仿宋_GB2312" w:cs="仿宋_GB2312"/>
                <w:color w:val="000000"/>
                <w:kern w:val="0"/>
                <w:sz w:val="18"/>
                <w:szCs w:val="18"/>
              </w:rPr>
            </w:pPr>
            <w:r>
              <w:rPr>
                <w:rFonts w:hint="eastAsia" w:ascii="仿宋_GB2312" w:hAnsi="宋体" w:eastAsia="仿宋_GB2312" w:cs="仿宋_GB2312"/>
                <w:color w:val="000000"/>
                <w:kern w:val="0"/>
                <w:sz w:val="18"/>
                <w:szCs w:val="18"/>
              </w:rPr>
              <w:t>5.监管环节责任：实施机关应当按照事中事后监管制度的要求对房屋交易资金监管的情况的监督检查；应当将监督检查的情况和处理结果予以记录归档，并通过一定方式向社会公众开放查阅。</w:t>
            </w:r>
          </w:p>
          <w:p w14:paraId="0637E329">
            <w:pPr>
              <w:widowControl/>
              <w:spacing w:line="240" w:lineRule="exact"/>
              <w:jc w:val="left"/>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rPr>
              <w:t>6.其他法律法规规章规定应履行的责任。</w:t>
            </w:r>
          </w:p>
        </w:tc>
        <w:tc>
          <w:tcPr>
            <w:tcW w:w="3402" w:type="dxa"/>
            <w:tcBorders>
              <w:tl2br w:val="nil"/>
              <w:tr2bl w:val="nil"/>
            </w:tcBorders>
            <w:shd w:val="clear" w:color="auto" w:fill="auto"/>
            <w:vAlign w:val="center"/>
          </w:tcPr>
          <w:p w14:paraId="39850E8A">
            <w:pPr>
              <w:widowControl/>
              <w:spacing w:line="240" w:lineRule="exact"/>
              <w:jc w:val="left"/>
              <w:textAlignment w:val="center"/>
              <w:rPr>
                <w:rFonts w:ascii="仿宋_GB2312" w:hAnsi="宋体" w:eastAsia="仿宋_GB2312" w:cs="仿宋_GB2312"/>
                <w:kern w:val="0"/>
                <w:sz w:val="18"/>
                <w:szCs w:val="18"/>
              </w:rPr>
            </w:pPr>
            <w:r>
              <w:rPr>
                <w:rFonts w:hint="eastAsia" w:ascii="仿宋_GB2312" w:hAnsi="宋体" w:eastAsia="仿宋_GB2312" w:cs="仿宋_GB2312"/>
                <w:kern w:val="0"/>
                <w:sz w:val="18"/>
                <w:szCs w:val="18"/>
              </w:rPr>
              <w:t>因不履行或不正确履行行政职责，有下列情形的，行政机关及相关工作人员应承担相应责任：</w:t>
            </w:r>
          </w:p>
          <w:p w14:paraId="137793CE">
            <w:pPr>
              <w:widowControl/>
              <w:spacing w:line="240" w:lineRule="exact"/>
              <w:jc w:val="left"/>
              <w:textAlignment w:val="center"/>
              <w:rPr>
                <w:rFonts w:ascii="仿宋_GB2312" w:hAnsi="宋体" w:eastAsia="仿宋_GB2312" w:cs="仿宋_GB2312"/>
                <w:kern w:val="0"/>
                <w:sz w:val="18"/>
                <w:szCs w:val="18"/>
              </w:rPr>
            </w:pPr>
            <w:r>
              <w:rPr>
                <w:rFonts w:hint="eastAsia" w:ascii="仿宋_GB2312" w:hAnsi="宋体" w:eastAsia="仿宋_GB2312" w:cs="仿宋_GB2312"/>
                <w:kern w:val="0"/>
                <w:sz w:val="18"/>
                <w:szCs w:val="18"/>
              </w:rPr>
              <w:t>1.在工作中玩忽职守、徇私舞弊的；</w:t>
            </w:r>
          </w:p>
          <w:p w14:paraId="3AA121DB">
            <w:pPr>
              <w:widowControl/>
              <w:spacing w:line="240" w:lineRule="exact"/>
              <w:jc w:val="left"/>
              <w:textAlignment w:val="center"/>
              <w:rPr>
                <w:rFonts w:ascii="仿宋_GB2312" w:hAnsi="宋体" w:eastAsia="仿宋_GB2312" w:cs="仿宋_GB2312"/>
                <w:kern w:val="0"/>
                <w:sz w:val="18"/>
                <w:szCs w:val="18"/>
              </w:rPr>
            </w:pPr>
            <w:r>
              <w:rPr>
                <w:rFonts w:hint="eastAsia" w:ascii="仿宋_GB2312" w:hAnsi="宋体" w:eastAsia="仿宋_GB2312" w:cs="仿宋_GB2312"/>
                <w:kern w:val="0"/>
                <w:sz w:val="18"/>
                <w:szCs w:val="18"/>
              </w:rPr>
              <w:t>2.其他违反法律法规规章文件规定的行为；</w:t>
            </w:r>
          </w:p>
          <w:p w14:paraId="45243401">
            <w:pPr>
              <w:widowControl/>
              <w:spacing w:line="240" w:lineRule="exact"/>
              <w:jc w:val="left"/>
              <w:textAlignment w:val="center"/>
              <w:rPr>
                <w:rFonts w:ascii="仿宋_GB2312" w:hAnsi="宋体" w:eastAsia="仿宋_GB2312" w:cs="仿宋_GB2312"/>
                <w:kern w:val="0"/>
                <w:sz w:val="18"/>
                <w:szCs w:val="18"/>
              </w:rPr>
            </w:pPr>
            <w:r>
              <w:rPr>
                <w:rFonts w:hint="eastAsia" w:ascii="仿宋_GB2312" w:hAnsi="宋体" w:eastAsia="仿宋_GB2312" w:cs="仿宋_GB2312"/>
                <w:color w:val="000000"/>
                <w:kern w:val="0"/>
                <w:sz w:val="18"/>
                <w:szCs w:val="18"/>
              </w:rPr>
              <w:t>3.其他违反法律法规规章文件规定的行为。</w:t>
            </w:r>
          </w:p>
        </w:tc>
        <w:tc>
          <w:tcPr>
            <w:tcW w:w="567" w:type="dxa"/>
            <w:tcBorders>
              <w:tl2br w:val="nil"/>
              <w:tr2bl w:val="nil"/>
            </w:tcBorders>
            <w:shd w:val="clear" w:color="auto" w:fill="auto"/>
            <w:vAlign w:val="center"/>
          </w:tcPr>
          <w:p w14:paraId="54B48E79">
            <w:pPr>
              <w:spacing w:line="240" w:lineRule="exact"/>
              <w:jc w:val="left"/>
              <w:rPr>
                <w:rFonts w:ascii="仿宋_GB2312" w:hAnsi="宋体" w:eastAsia="仿宋_GB2312" w:cs="仿宋_GB2312"/>
                <w:color w:val="000000"/>
                <w:sz w:val="18"/>
                <w:szCs w:val="18"/>
              </w:rPr>
            </w:pPr>
          </w:p>
        </w:tc>
      </w:tr>
      <w:tr w14:paraId="3C9FF3B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8957" w:hRule="atLeast"/>
        </w:trPr>
        <w:tc>
          <w:tcPr>
            <w:tcW w:w="544" w:type="dxa"/>
            <w:tcBorders>
              <w:tl2br w:val="nil"/>
              <w:tr2bl w:val="nil"/>
            </w:tcBorders>
            <w:shd w:val="clear" w:color="auto" w:fill="auto"/>
            <w:tcMar>
              <w:top w:w="15" w:type="dxa"/>
              <w:left w:w="0" w:type="dxa"/>
              <w:bottom w:w="15" w:type="dxa"/>
              <w:right w:w="0" w:type="dxa"/>
            </w:tcMar>
            <w:vAlign w:val="center"/>
          </w:tcPr>
          <w:p w14:paraId="0A369CF6">
            <w:pPr>
              <w:widowControl/>
              <w:spacing w:line="240" w:lineRule="exact"/>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rPr>
              <w:t>3</w:t>
            </w:r>
          </w:p>
        </w:tc>
        <w:tc>
          <w:tcPr>
            <w:tcW w:w="850" w:type="dxa"/>
            <w:tcBorders>
              <w:tl2br w:val="nil"/>
              <w:tr2bl w:val="nil"/>
            </w:tcBorders>
            <w:shd w:val="clear" w:color="auto" w:fill="auto"/>
            <w:vAlign w:val="center"/>
          </w:tcPr>
          <w:p w14:paraId="53AF21A1">
            <w:pPr>
              <w:widowControl/>
              <w:spacing w:line="240" w:lineRule="exact"/>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rPr>
              <w:t>其他权力</w:t>
            </w:r>
          </w:p>
        </w:tc>
        <w:tc>
          <w:tcPr>
            <w:tcW w:w="1134" w:type="dxa"/>
            <w:tcBorders>
              <w:tl2br w:val="nil"/>
              <w:tr2bl w:val="nil"/>
            </w:tcBorders>
            <w:shd w:val="clear" w:color="auto" w:fill="auto"/>
            <w:vAlign w:val="center"/>
          </w:tcPr>
          <w:p w14:paraId="68AED92A">
            <w:pPr>
              <w:widowControl/>
              <w:spacing w:line="240" w:lineRule="exact"/>
              <w:jc w:val="left"/>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rPr>
              <w:t>建设工程招投标投诉处理</w:t>
            </w:r>
          </w:p>
        </w:tc>
        <w:tc>
          <w:tcPr>
            <w:tcW w:w="3118" w:type="dxa"/>
            <w:tcBorders>
              <w:tl2br w:val="nil"/>
              <w:tr2bl w:val="nil"/>
            </w:tcBorders>
            <w:shd w:val="clear" w:color="auto" w:fill="auto"/>
            <w:vAlign w:val="center"/>
          </w:tcPr>
          <w:p w14:paraId="522A21AE">
            <w:pPr>
              <w:widowControl/>
              <w:spacing w:line="220" w:lineRule="exact"/>
              <w:jc w:val="left"/>
              <w:textAlignment w:val="center"/>
              <w:rPr>
                <w:rFonts w:ascii="仿宋_GB2312" w:hAnsi="宋体" w:eastAsia="仿宋_GB2312" w:cs="仿宋_GB2312"/>
                <w:kern w:val="0"/>
                <w:sz w:val="16"/>
                <w:szCs w:val="16"/>
              </w:rPr>
            </w:pPr>
            <w:r>
              <w:rPr>
                <w:rFonts w:hint="eastAsia" w:ascii="仿宋_GB2312" w:hAnsi="宋体" w:eastAsia="仿宋_GB2312" w:cs="仿宋_GB2312"/>
                <w:kern w:val="0"/>
                <w:sz w:val="16"/>
                <w:szCs w:val="16"/>
              </w:rPr>
              <w:t>1.《中华人民共和国招标投标法》（主席令第21号）第六十五条 投标人和其他利害关系人认为招标投标活动不符合本法有关规定的，有权向招标人提出异议或者依法向有关行政监督部门投。</w:t>
            </w:r>
          </w:p>
          <w:p w14:paraId="0841A016">
            <w:pPr>
              <w:widowControl/>
              <w:spacing w:line="220" w:lineRule="exact"/>
              <w:jc w:val="left"/>
              <w:textAlignment w:val="center"/>
              <w:rPr>
                <w:rFonts w:ascii="仿宋_GB2312" w:hAnsi="宋体" w:eastAsia="仿宋_GB2312" w:cs="仿宋_GB2312"/>
                <w:kern w:val="0"/>
                <w:sz w:val="16"/>
                <w:szCs w:val="16"/>
              </w:rPr>
            </w:pPr>
            <w:r>
              <w:rPr>
                <w:rFonts w:hint="eastAsia" w:ascii="仿宋_GB2312" w:hAnsi="宋体" w:eastAsia="仿宋_GB2312" w:cs="仿宋_GB2312"/>
                <w:kern w:val="0"/>
                <w:sz w:val="16"/>
                <w:szCs w:val="16"/>
              </w:rPr>
              <w:t>2.《中华人民共和国</w:t>
            </w:r>
            <w:r>
              <w:rPr>
                <w:rFonts w:hint="eastAsia" w:ascii="仿宋_GB2312" w:hAnsi="宋体" w:eastAsia="仿宋_GB2312" w:cs="仿宋_GB2312"/>
                <w:kern w:val="0"/>
                <w:sz w:val="16"/>
                <w:szCs w:val="16"/>
                <w:lang w:val="en-US" w:eastAsia="zh-CN"/>
              </w:rPr>
              <w:t>招标投</w:t>
            </w:r>
            <w:bookmarkStart w:id="0" w:name="_GoBack"/>
            <w:bookmarkEnd w:id="0"/>
            <w:r>
              <w:rPr>
                <w:rFonts w:hint="eastAsia" w:ascii="仿宋_GB2312" w:hAnsi="宋体" w:eastAsia="仿宋_GB2312" w:cs="仿宋_GB2312"/>
                <w:kern w:val="0"/>
                <w:sz w:val="16"/>
                <w:szCs w:val="16"/>
              </w:rPr>
              <w:t>标法实施条例》(国务院令第613号)第五章投诉与处；投诉与处理第六十条 投标人或者其他利害关系人认为招标投标活动不符合法律、行政法规规定的，可以自知道或者应当知道之日起10日内向有关行政监督部门投诉。投诉应当有明确的请求和必要的证明材料。就本条例第二十二条、第四十四条、第五十四条规定事项投诉的，应当先向招标人提出异议，异议答复期间不计算在前款规定的期限内。第六十一条 投诉人就同一事项向两个以上有权受理的行政监督部门投诉的，由最先收到投诉的行政监督部门负责处理。行政监督部门应当自收到投诉之日起3个工作日内决定是否受理投诉，并自受理投诉之日起30个工作日内作出书面处理决定；需要检验、检测、鉴定、专家评审的，所需时间不计算在内。投诉人捏造事实、伪造材料或者以非法手段取得证明材料进行投诉的，行政监督部门应当予以驳回。第六十二条 行政监督部门处理投诉，有权查阅、复制有关文件、资料，调查有关情况，相关单位和人员应当予以配合。必要时，行政监督部门可以责令暂停招标投标活动。行政监督部门的工作人员对监督检查过程中知悉的国家秘密、商业秘密，应当依法予以保密。</w:t>
            </w:r>
          </w:p>
          <w:p w14:paraId="2AA2F110">
            <w:pPr>
              <w:widowControl/>
              <w:spacing w:line="220" w:lineRule="exact"/>
              <w:jc w:val="left"/>
              <w:textAlignment w:val="center"/>
              <w:rPr>
                <w:rFonts w:ascii="仿宋_GB2312" w:hAnsi="宋体" w:eastAsia="仿宋_GB2312" w:cs="仿宋_GB2312"/>
                <w:color w:val="FF0000"/>
                <w:sz w:val="18"/>
                <w:szCs w:val="18"/>
              </w:rPr>
            </w:pPr>
            <w:r>
              <w:rPr>
                <w:rFonts w:hint="eastAsia" w:ascii="仿宋_GB2312" w:hAnsi="宋体" w:eastAsia="仿宋_GB2312" w:cs="仿宋_GB2312"/>
                <w:kern w:val="0"/>
                <w:sz w:val="16"/>
                <w:szCs w:val="16"/>
              </w:rPr>
              <w:t>3.《工程建设项目招标投标活动投诉处理办法》（七部委令第11号）第三条 投标人或者其他利害关系人认为招标投标活动不符合法律、法规和规章规定的，有权依法向有关行政监督部门投诉。第四条各级发展改革、工业和信息化、住房城乡建设、水利、交通运输、铁道、商务、民航等招标投标活动行政监督部门，依照《国务院办公厅印发国务院有关部门实施招标投标活动行政监督的职责分工的意见的通知》(国办发〔2000〕34号)和地方各级人民政府规定的职责分工，受理投诉并依法做出处理决定。</w:t>
            </w:r>
          </w:p>
        </w:tc>
        <w:tc>
          <w:tcPr>
            <w:tcW w:w="1305" w:type="dxa"/>
            <w:tcBorders>
              <w:tl2br w:val="nil"/>
              <w:tr2bl w:val="nil"/>
            </w:tcBorders>
            <w:shd w:val="clear" w:color="auto" w:fill="auto"/>
            <w:vAlign w:val="center"/>
          </w:tcPr>
          <w:p w14:paraId="1029BA30">
            <w:pPr>
              <w:widowControl/>
              <w:spacing w:line="240" w:lineRule="exact"/>
              <w:jc w:val="center"/>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rPr>
              <w:t>省住建厅</w:t>
            </w:r>
          </w:p>
        </w:tc>
        <w:tc>
          <w:tcPr>
            <w:tcW w:w="3797" w:type="dxa"/>
            <w:tcBorders>
              <w:tl2br w:val="nil"/>
              <w:tr2bl w:val="nil"/>
            </w:tcBorders>
            <w:shd w:val="clear" w:color="auto" w:fill="auto"/>
            <w:vAlign w:val="center"/>
          </w:tcPr>
          <w:p w14:paraId="392BC5DE">
            <w:pPr>
              <w:widowControl/>
              <w:spacing w:line="240" w:lineRule="exact"/>
              <w:jc w:val="left"/>
              <w:textAlignment w:val="center"/>
              <w:rPr>
                <w:rFonts w:ascii="仿宋_GB2312" w:hAnsi="宋体" w:eastAsia="仿宋_GB2312" w:cs="仿宋_GB2312"/>
                <w:color w:val="000000"/>
                <w:kern w:val="0"/>
                <w:sz w:val="18"/>
                <w:szCs w:val="18"/>
              </w:rPr>
            </w:pPr>
            <w:r>
              <w:rPr>
                <w:rFonts w:hint="eastAsia" w:ascii="仿宋_GB2312" w:hAnsi="宋体" w:eastAsia="仿宋_GB2312" w:cs="仿宋_GB2312"/>
                <w:color w:val="000000"/>
                <w:kern w:val="0"/>
                <w:sz w:val="18"/>
                <w:szCs w:val="18"/>
              </w:rPr>
              <w:t>1.受理责任：（1）投诉人提交符合法定要求的投诉材料，同时提交申请。（2）申请资料齐全、符合法定要求的，应当受理申请；（3）申请资料不齐全或者不符合法定要求的，应当告知申请人需要补正的全部内容；不得要求申请人提交无关的材料；（4）不符合条件的，不予受理。</w:t>
            </w:r>
          </w:p>
          <w:p w14:paraId="1AD11DA3">
            <w:pPr>
              <w:widowControl/>
              <w:spacing w:line="240" w:lineRule="exact"/>
              <w:jc w:val="left"/>
              <w:textAlignment w:val="center"/>
              <w:rPr>
                <w:rFonts w:ascii="仿宋_GB2312" w:hAnsi="宋体" w:eastAsia="仿宋_GB2312" w:cs="仿宋_GB2312"/>
                <w:color w:val="000000"/>
                <w:kern w:val="0"/>
                <w:sz w:val="18"/>
                <w:szCs w:val="18"/>
              </w:rPr>
            </w:pPr>
            <w:r>
              <w:rPr>
                <w:rFonts w:hint="eastAsia" w:ascii="仿宋_GB2312" w:hAnsi="宋体" w:eastAsia="仿宋_GB2312" w:cs="仿宋_GB2312"/>
                <w:color w:val="000000"/>
                <w:kern w:val="0"/>
                <w:sz w:val="18"/>
                <w:szCs w:val="18"/>
              </w:rPr>
              <w:t>2.处理责任：符合法定受理要求的，调查取证审查后作出处理决定。</w:t>
            </w:r>
          </w:p>
          <w:p w14:paraId="32A4BDD8">
            <w:pPr>
              <w:widowControl/>
              <w:spacing w:line="240" w:lineRule="exact"/>
              <w:jc w:val="left"/>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rPr>
              <w:t>3.其他法律法规规章文件规定应履行的责任。</w:t>
            </w:r>
          </w:p>
        </w:tc>
        <w:tc>
          <w:tcPr>
            <w:tcW w:w="3402" w:type="dxa"/>
            <w:tcBorders>
              <w:tl2br w:val="nil"/>
              <w:tr2bl w:val="nil"/>
            </w:tcBorders>
            <w:shd w:val="clear" w:color="auto" w:fill="auto"/>
            <w:vAlign w:val="center"/>
          </w:tcPr>
          <w:p w14:paraId="502913ED">
            <w:pPr>
              <w:widowControl/>
              <w:spacing w:line="240" w:lineRule="exact"/>
              <w:jc w:val="left"/>
              <w:textAlignment w:val="center"/>
              <w:rPr>
                <w:rFonts w:ascii="仿宋_GB2312" w:hAnsi="宋体" w:eastAsia="仿宋_GB2312" w:cs="仿宋_GB2312"/>
                <w:color w:val="000000"/>
                <w:kern w:val="0"/>
                <w:sz w:val="18"/>
                <w:szCs w:val="18"/>
              </w:rPr>
            </w:pPr>
            <w:r>
              <w:rPr>
                <w:rFonts w:hint="eastAsia" w:ascii="仿宋_GB2312" w:hAnsi="宋体" w:eastAsia="仿宋_GB2312" w:cs="仿宋_GB2312"/>
                <w:color w:val="000000"/>
                <w:kern w:val="0"/>
                <w:sz w:val="18"/>
                <w:szCs w:val="18"/>
              </w:rPr>
              <w:t>因不履行或不正确履行行政职责，有下列情形的，行政机关及相关工作人员应承担相应责任：</w:t>
            </w:r>
          </w:p>
          <w:p w14:paraId="1F834468">
            <w:pPr>
              <w:widowControl/>
              <w:spacing w:line="240" w:lineRule="exact"/>
              <w:jc w:val="left"/>
              <w:textAlignment w:val="center"/>
              <w:rPr>
                <w:rFonts w:ascii="仿宋_GB2312" w:hAnsi="宋体" w:eastAsia="仿宋_GB2312" w:cs="仿宋_GB2312"/>
                <w:color w:val="000000"/>
                <w:kern w:val="0"/>
                <w:sz w:val="18"/>
                <w:szCs w:val="18"/>
              </w:rPr>
            </w:pPr>
            <w:r>
              <w:rPr>
                <w:rFonts w:hint="eastAsia" w:ascii="仿宋_GB2312" w:hAnsi="宋体" w:eastAsia="仿宋_GB2312" w:cs="仿宋_GB2312"/>
                <w:color w:val="000000"/>
                <w:kern w:val="0"/>
                <w:sz w:val="18"/>
                <w:szCs w:val="18"/>
              </w:rPr>
              <w:t>1.对符合投诉受理条件而不予备案的；</w:t>
            </w:r>
          </w:p>
          <w:p w14:paraId="69581CAF">
            <w:pPr>
              <w:widowControl/>
              <w:spacing w:line="240" w:lineRule="exact"/>
              <w:jc w:val="left"/>
              <w:textAlignment w:val="center"/>
              <w:rPr>
                <w:rFonts w:ascii="仿宋_GB2312" w:hAnsi="宋体" w:eastAsia="仿宋_GB2312" w:cs="仿宋_GB2312"/>
                <w:color w:val="000000"/>
                <w:kern w:val="0"/>
                <w:sz w:val="18"/>
                <w:szCs w:val="18"/>
              </w:rPr>
            </w:pPr>
            <w:r>
              <w:rPr>
                <w:rFonts w:hint="eastAsia" w:ascii="仿宋_GB2312" w:hAnsi="宋体" w:eastAsia="仿宋_GB2312" w:cs="仿宋_GB2312"/>
                <w:color w:val="000000"/>
                <w:kern w:val="0"/>
                <w:sz w:val="18"/>
                <w:szCs w:val="18"/>
              </w:rPr>
              <w:t>2.对不符合条件规定的投诉申请予以受理的；</w:t>
            </w:r>
          </w:p>
          <w:p w14:paraId="140E0EE1">
            <w:pPr>
              <w:widowControl/>
              <w:spacing w:line="240" w:lineRule="exact"/>
              <w:jc w:val="left"/>
              <w:textAlignment w:val="center"/>
              <w:rPr>
                <w:rFonts w:ascii="仿宋_GB2312" w:hAnsi="宋体" w:eastAsia="仿宋_GB2312" w:cs="仿宋_GB2312"/>
                <w:color w:val="000000"/>
                <w:kern w:val="0"/>
                <w:sz w:val="18"/>
                <w:szCs w:val="18"/>
              </w:rPr>
            </w:pPr>
            <w:r>
              <w:rPr>
                <w:rFonts w:hint="eastAsia" w:ascii="仿宋_GB2312" w:hAnsi="宋体" w:eastAsia="仿宋_GB2312" w:cs="仿宋_GB2312"/>
                <w:color w:val="000000"/>
                <w:kern w:val="0"/>
                <w:sz w:val="18"/>
                <w:szCs w:val="18"/>
              </w:rPr>
              <w:t>3.在处理投诉时，变相收取费用的；</w:t>
            </w:r>
          </w:p>
          <w:p w14:paraId="62A2822A">
            <w:pPr>
              <w:widowControl/>
              <w:spacing w:line="240" w:lineRule="exact"/>
              <w:jc w:val="left"/>
              <w:textAlignment w:val="center"/>
              <w:rPr>
                <w:rFonts w:ascii="仿宋_GB2312" w:hAnsi="宋体" w:eastAsia="仿宋_GB2312" w:cs="仿宋_GB2312"/>
                <w:color w:val="000000"/>
                <w:kern w:val="0"/>
                <w:sz w:val="18"/>
                <w:szCs w:val="18"/>
              </w:rPr>
            </w:pPr>
            <w:r>
              <w:rPr>
                <w:rFonts w:hint="eastAsia" w:ascii="仿宋_GB2312" w:hAnsi="宋体" w:eastAsia="仿宋_GB2312" w:cs="仿宋_GB2312"/>
                <w:color w:val="000000"/>
                <w:kern w:val="0"/>
                <w:sz w:val="18"/>
                <w:szCs w:val="18"/>
              </w:rPr>
              <w:t>4.在处理投诉过程中玩忽职守、滥用职权的；</w:t>
            </w:r>
          </w:p>
          <w:p w14:paraId="2626E85A">
            <w:pPr>
              <w:widowControl/>
              <w:spacing w:line="240" w:lineRule="exact"/>
              <w:jc w:val="left"/>
              <w:textAlignment w:val="center"/>
              <w:rPr>
                <w:rFonts w:ascii="仿宋_GB2312" w:hAnsi="宋体" w:eastAsia="仿宋_GB2312" w:cs="仿宋_GB2312"/>
                <w:color w:val="000000"/>
                <w:kern w:val="0"/>
                <w:sz w:val="18"/>
                <w:szCs w:val="18"/>
              </w:rPr>
            </w:pPr>
            <w:r>
              <w:rPr>
                <w:rFonts w:hint="eastAsia" w:ascii="仿宋_GB2312" w:hAnsi="宋体" w:eastAsia="仿宋_GB2312" w:cs="仿宋_GB2312"/>
                <w:color w:val="000000"/>
                <w:kern w:val="0"/>
                <w:sz w:val="18"/>
                <w:szCs w:val="18"/>
              </w:rPr>
              <w:t>5.在处理投诉过程中发生腐败行为的；</w:t>
            </w:r>
          </w:p>
          <w:p w14:paraId="1D4476F2">
            <w:pPr>
              <w:widowControl/>
              <w:spacing w:line="240" w:lineRule="exact"/>
              <w:jc w:val="left"/>
              <w:textAlignment w:val="center"/>
              <w:rPr>
                <w:rFonts w:ascii="仿宋_GB2312" w:hAnsi="宋体" w:eastAsia="仿宋_GB2312" w:cs="仿宋_GB2312"/>
                <w:color w:val="000000"/>
                <w:sz w:val="18"/>
                <w:szCs w:val="18"/>
              </w:rPr>
            </w:pPr>
            <w:r>
              <w:rPr>
                <w:rFonts w:hint="eastAsia" w:ascii="仿宋_GB2312" w:hAnsi="宋体" w:eastAsia="仿宋_GB2312" w:cs="仿宋_GB2312"/>
                <w:color w:val="000000"/>
                <w:kern w:val="0"/>
                <w:sz w:val="18"/>
                <w:szCs w:val="18"/>
              </w:rPr>
              <w:t>6.其他违反法律法规规章文件规定的行为。</w:t>
            </w:r>
          </w:p>
        </w:tc>
        <w:tc>
          <w:tcPr>
            <w:tcW w:w="567" w:type="dxa"/>
            <w:tcBorders>
              <w:tl2br w:val="nil"/>
              <w:tr2bl w:val="nil"/>
            </w:tcBorders>
            <w:shd w:val="clear" w:color="auto" w:fill="auto"/>
            <w:vAlign w:val="center"/>
          </w:tcPr>
          <w:p w14:paraId="297CC987">
            <w:pPr>
              <w:spacing w:line="240" w:lineRule="exact"/>
              <w:jc w:val="center"/>
              <w:rPr>
                <w:rFonts w:ascii="仿宋_GB2312" w:hAnsi="宋体" w:eastAsia="仿宋_GB2312" w:cs="仿宋_GB2312"/>
                <w:color w:val="000000"/>
                <w:sz w:val="18"/>
                <w:szCs w:val="18"/>
              </w:rPr>
            </w:pPr>
          </w:p>
        </w:tc>
      </w:tr>
    </w:tbl>
    <w:p w14:paraId="7F95732A">
      <w:pPr>
        <w:spacing w:line="240" w:lineRule="exact"/>
      </w:pPr>
    </w:p>
    <w:sectPr>
      <w:pgSz w:w="16838" w:h="11906" w:orient="landscape"/>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YjU2ZGFiMzA1OTRkNDFlODU0YmY5Y2NjNmU1YWJmM2MifQ=="/>
  </w:docVars>
  <w:rsids>
    <w:rsidRoot w:val="4A4E2AB0"/>
    <w:rsid w:val="00004679"/>
    <w:rsid w:val="001C5A81"/>
    <w:rsid w:val="0078787B"/>
    <w:rsid w:val="00D44419"/>
    <w:rsid w:val="07A54D56"/>
    <w:rsid w:val="0A105A11"/>
    <w:rsid w:val="125C6FF2"/>
    <w:rsid w:val="14D23EB5"/>
    <w:rsid w:val="15022B03"/>
    <w:rsid w:val="42D741A5"/>
    <w:rsid w:val="4A4E2AB0"/>
    <w:rsid w:val="557E172A"/>
    <w:rsid w:val="62FB6889"/>
    <w:rsid w:val="721030E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nhideWhenUsed/>
    <w:uiPriority w:val="1"/>
  </w:style>
  <w:style w:type="table" w:default="1" w:styleId="2">
    <w:name w:val="Normal Table"/>
    <w:semiHidden/>
    <w:unhideWhenUsed/>
    <w:qFormat/>
    <w:uiPriority w:val="99"/>
    <w:tblPr>
      <w:tblCellMar>
        <w:top w:w="0" w:type="dxa"/>
        <w:left w:w="108" w:type="dxa"/>
        <w:bottom w:w="0" w:type="dxa"/>
        <w:right w:w="108" w:type="dxa"/>
      </w:tblCellMar>
    </w:tblPr>
  </w:style>
  <w:style w:type="character" w:customStyle="1" w:styleId="4">
    <w:name w:val="font41"/>
    <w:basedOn w:val="3"/>
    <w:qFormat/>
    <w:uiPriority w:val="0"/>
    <w:rPr>
      <w:rFonts w:hint="eastAsia" w:ascii="仿宋_GB2312" w:eastAsia="仿宋_GB2312" w:cs="仿宋_GB2312"/>
      <w:color w:val="000000"/>
      <w:sz w:val="16"/>
      <w:szCs w:val="16"/>
      <w:u w:val="none"/>
    </w:rPr>
  </w:style>
  <w:style w:type="character" w:customStyle="1" w:styleId="5">
    <w:name w:val="font01"/>
    <w:basedOn w:val="3"/>
    <w:qFormat/>
    <w:uiPriority w:val="0"/>
    <w:rPr>
      <w:rFonts w:hint="eastAsia" w:ascii="仿宋_GB2312" w:eastAsia="仿宋_GB2312" w:cs="仿宋_GB2312"/>
      <w:color w:val="FF0000"/>
      <w:sz w:val="16"/>
      <w:szCs w:val="16"/>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Pages>
  <Words>2289</Words>
  <Characters>2355</Characters>
  <Lines>17</Lines>
  <Paragraphs>4</Paragraphs>
  <TotalTime>8</TotalTime>
  <ScaleCrop>false</ScaleCrop>
  <LinksUpToDate>false</LinksUpToDate>
  <CharactersWithSpaces>2366</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2022-08-30T09:59:00Z</dcterms:created>
  <dc:creator>Administrator</dc:creator>
  <cp:lastModifiedBy>福禄寿喜财</cp:lastModifiedBy>
  <dcterms:modified xsi:type="dcterms:W3CDTF">2025-10-22T09:36:12Z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61CEE69174E1428DACB212DF9133F39F</vt:lpwstr>
  </property>
  <property fmtid="{D5CDD505-2E9C-101B-9397-08002B2CF9AE}" pid="4" name="KSOTemplateDocerSaveRecord">
    <vt:lpwstr>eyJoZGlkIjoiYTM5OTg0NTAwODVkYzQzNGY4ZWNhNjNiYjkyZmI0NGIiLCJ1c2VySWQiOiIxNzE3NjQ0MTg1In0=</vt:lpwstr>
  </property>
</Properties>
</file>